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137E6C" w:rsidP="003627B6">
      <w:pPr>
        <w:pStyle w:val="ListBullet"/>
        <w:numPr>
          <w:ilvl w:val="0"/>
          <w:numId w:val="0"/>
        </w:numPr>
        <w:ind w:left="7655"/>
        <w:sectPr w:rsidSect="00732663">
          <w:pgSz w:w="11900" w:h="16840"/>
          <w:pgMar w:top="0" w:right="679" w:bottom="1440" w:left="731" w:header="708" w:footer="708" w:gutter="0"/>
          <w:cols w:space="708"/>
          <w:docGrid w:linePitch="360"/>
        </w:sectPr>
      </w:pPr>
      <w:bookmarkStart w:id="0" w:name="_GoBack"/>
      <w:bookmarkEnd w:id="0"/>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-21590</wp:posOffset>
                </wp:positionH>
                <wp:positionV relativeFrom="paragraph">
                  <wp:posOffset>3726815</wp:posOffset>
                </wp:positionV>
                <wp:extent cx="3924300" cy="1466850"/>
                <wp:effectExtent l="0" t="0" r="0" b="0"/>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wps:spPr>
                        <a:xfrm>
                          <a:off x="0" y="0"/>
                          <a:ext cx="3924300" cy="1466850"/>
                        </a:xfrm>
                        <a:prstGeom prst="rect">
                          <a:avLst/>
                        </a:prstGeom>
                        <a:noFill/>
                        <a:ln w="6350">
                          <a:noFill/>
                        </a:ln>
                      </wps:spPr>
                      <wps:txbx>
                        <w:txbxContent>
                          <w:p w:rsidR="003627B6" w:rsidRPr="003627B6" w:rsidP="003627B6">
                            <w:pPr>
                              <w:autoSpaceDE w:val="0"/>
                              <w:autoSpaceDN w:val="0"/>
                              <w:adjustRightInd w:val="0"/>
                              <w:spacing w:after="0" w:line="288" w:lineRule="auto"/>
                              <w:textAlignment w:val="center"/>
                              <w:rPr>
                                <w:rFonts w:ascii="Tiempos Headline Semibold" w:hAnsi="Tiempos Headline Semibold" w:cs="Tiempos Headline Semibold"/>
                                <w:color w:val="90C262"/>
                                <w:sz w:val="72"/>
                                <w:szCs w:val="72"/>
                              </w:rPr>
                            </w:pPr>
                            <w:r w:rsidRPr="003627B6">
                              <w:rPr>
                                <w:rFonts w:ascii="Tiempos Headline Semibold" w:hAnsi="Tiempos Headline Semibold" w:cs="Tiempos Headline Semibold"/>
                                <w:color w:val="90C262"/>
                                <w:sz w:val="72"/>
                                <w:szCs w:val="72"/>
                              </w:rPr>
                              <w:t>Governance Policy Statement</w:t>
                            </w:r>
                          </w:p>
                          <w:p w:rsidR="00137E6C" w:rsidRPr="003627B6" w:rsidP="00137E6C">
                            <w:pPr>
                              <w:ind w:left="-284"/>
                              <w:rPr>
                                <w:color w:val="014B44"/>
                                <w:sz w:val="72"/>
                                <w:szCs w:val="72"/>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5" type="#_x0000_t202" style="width:309pt;height:115.5pt;margin-top:293.45pt;margin-left:-1.7pt;mso-height-percent:0;mso-height-relative:margin;mso-width-percent:0;mso-width-relative:margin;mso-wrap-distance-bottom:0;mso-wrap-distance-left:9pt;mso-wrap-distance-right:9pt;mso-wrap-distance-top:0;mso-wrap-style:square;position:absolute;visibility:visible;v-text-anchor:top;z-index:251661312" filled="f" stroked="f" strokeweight="0.5pt">
                <v:textbox>
                  <w:txbxContent>
                    <w:p w:rsidR="003627B6" w:rsidRPr="003627B6" w:rsidP="003627B6">
                      <w:pPr>
                        <w:autoSpaceDE w:val="0"/>
                        <w:autoSpaceDN w:val="0"/>
                        <w:adjustRightInd w:val="0"/>
                        <w:spacing w:after="0" w:line="288" w:lineRule="auto"/>
                        <w:textAlignment w:val="center"/>
                        <w:rPr>
                          <w:rFonts w:ascii="Tiempos Headline Semibold" w:hAnsi="Tiempos Headline Semibold" w:cs="Tiempos Headline Semibold"/>
                          <w:color w:val="90C262"/>
                          <w:sz w:val="72"/>
                          <w:szCs w:val="72"/>
                        </w:rPr>
                      </w:pPr>
                      <w:r w:rsidRPr="003627B6">
                        <w:rPr>
                          <w:rFonts w:ascii="Tiempos Headline Semibold" w:hAnsi="Tiempos Headline Semibold" w:cs="Tiempos Headline Semibold"/>
                          <w:color w:val="90C262"/>
                          <w:sz w:val="72"/>
                          <w:szCs w:val="72"/>
                        </w:rPr>
                        <w:t>Governance Policy Statement</w:t>
                      </w:r>
                    </w:p>
                    <w:p w:rsidR="00137E6C" w:rsidRPr="003627B6" w:rsidP="00137E6C">
                      <w:pPr>
                        <w:ind w:left="-284"/>
                        <w:rPr>
                          <w:color w:val="014B44"/>
                          <w:sz w:val="72"/>
                          <w:szCs w:val="72"/>
                        </w:rPr>
                      </w:pP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1905</wp:posOffset>
                </wp:positionH>
                <wp:positionV relativeFrom="paragraph">
                  <wp:posOffset>5073643</wp:posOffset>
                </wp:positionV>
                <wp:extent cx="3924300" cy="78740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wps:spPr>
                        <a:xfrm>
                          <a:off x="0" y="0"/>
                          <a:ext cx="3924300" cy="787400"/>
                        </a:xfrm>
                        <a:prstGeom prst="rect">
                          <a:avLst/>
                        </a:prstGeom>
                        <a:noFill/>
                        <a:ln w="6350">
                          <a:noFill/>
                        </a:ln>
                      </wps:spPr>
                      <wps:txbx>
                        <w:txbxContent>
                          <w:p w:rsidR="003627B6" w:rsidRPr="003627B6" w:rsidP="003627B6">
                            <w:pPr>
                              <w:autoSpaceDE w:val="0"/>
                              <w:autoSpaceDN w:val="0"/>
                              <w:adjustRightInd w:val="0"/>
                              <w:spacing w:after="0" w:line="288" w:lineRule="auto"/>
                              <w:textAlignment w:val="center"/>
                              <w:rPr>
                                <w:rFonts w:ascii="MrEavesSanOT" w:hAnsi="MrEavesSanOT" w:cs="MrEavesSanOT"/>
                                <w:b/>
                                <w:bCs/>
                                <w:color w:val="92D050"/>
                                <w:sz w:val="28"/>
                                <w:szCs w:val="28"/>
                              </w:rPr>
                            </w:pPr>
                            <w:r>
                              <w:rPr>
                                <w:rFonts w:ascii="MrEavesSanOT" w:hAnsi="MrEavesSanOT" w:cs="MrEavesSanOT"/>
                                <w:b/>
                                <w:bCs/>
                                <w:color w:val="92D050"/>
                                <w:sz w:val="28"/>
                                <w:szCs w:val="28"/>
                              </w:rPr>
                              <w:t>Updated January 2021</w:t>
                            </w:r>
                          </w:p>
                          <w:p w:rsidR="003627B6" w:rsidRPr="003627B6" w:rsidP="00137E6C">
                            <w:pPr>
                              <w:ind w:left="-284"/>
                              <w:rPr>
                                <w:color w:val="92D050"/>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2" o:spid="_x0000_s1026" type="#_x0000_t202" style="width:309pt;height:62pt;margin-top:399.5pt;margin-left:0.15pt;mso-height-percent:0;mso-height-relative:margin;mso-width-percent:0;mso-width-relative:margin;mso-wrap-distance-bottom:0;mso-wrap-distance-left:9pt;mso-wrap-distance-right:9pt;mso-wrap-distance-top:0;mso-wrap-style:square;position:absolute;visibility:visible;v-text-anchor:top;z-index:251665408" filled="f" stroked="f" strokeweight="0.5pt">
                <v:textbox>
                  <w:txbxContent>
                    <w:p w:rsidR="003627B6" w:rsidRPr="003627B6" w:rsidP="003627B6">
                      <w:pPr>
                        <w:autoSpaceDE w:val="0"/>
                        <w:autoSpaceDN w:val="0"/>
                        <w:adjustRightInd w:val="0"/>
                        <w:spacing w:after="0" w:line="288" w:lineRule="auto"/>
                        <w:textAlignment w:val="center"/>
                        <w:rPr>
                          <w:rFonts w:ascii="MrEavesSanOT" w:hAnsi="MrEavesSanOT" w:cs="MrEavesSanOT"/>
                          <w:b/>
                          <w:bCs/>
                          <w:color w:val="92D050"/>
                          <w:sz w:val="28"/>
                          <w:szCs w:val="28"/>
                        </w:rPr>
                      </w:pPr>
                      <w:r>
                        <w:rPr>
                          <w:rFonts w:ascii="MrEavesSanOT" w:hAnsi="MrEavesSanOT" w:cs="MrEavesSanOT"/>
                          <w:b/>
                          <w:bCs/>
                          <w:color w:val="92D050"/>
                          <w:sz w:val="28"/>
                          <w:szCs w:val="28"/>
                        </w:rPr>
                        <w:t>Updated January 2021</w:t>
                      </w:r>
                    </w:p>
                    <w:p w:rsidR="003627B6" w:rsidRPr="003627B6" w:rsidP="00137E6C">
                      <w:pPr>
                        <w:ind w:left="-284"/>
                        <w:rPr>
                          <w:color w:val="92D050"/>
                        </w:rPr>
                      </w:pP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-21590</wp:posOffset>
                </wp:positionH>
                <wp:positionV relativeFrom="paragraph">
                  <wp:posOffset>9736790</wp:posOffset>
                </wp:positionV>
                <wp:extent cx="4702629" cy="787400"/>
                <wp:effectExtent l="0" t="0" r="0" b="0"/>
                <wp:wrapNone/>
                <wp:docPr id="51" name="Text Box 51"/>
                <wp:cNvGraphicFramePr/>
                <a:graphic xmlns:a="http://schemas.openxmlformats.org/drawingml/2006/main">
                  <a:graphicData uri="http://schemas.microsoft.com/office/word/2010/wordprocessingShape">
                    <wps:wsp xmlns:wps="http://schemas.microsoft.com/office/word/2010/wordprocessingShape">
                      <wps:cNvSpPr txBox="1"/>
                      <wps:spPr>
                        <a:xfrm>
                          <a:off x="0" y="0"/>
                          <a:ext cx="4702629" cy="787400"/>
                        </a:xfrm>
                        <a:prstGeom prst="rect">
                          <a:avLst/>
                        </a:prstGeom>
                        <a:noFill/>
                        <a:ln w="6350">
                          <a:noFill/>
                        </a:ln>
                      </wps:spPr>
                      <wps:txbx>
                        <w:txbxContent>
                          <w:p w:rsidR="00DF4BBA" w:rsidP="00DF4BBA">
                            <w:pPr>
                              <w:autoSpaceDE w:val="0"/>
                              <w:autoSpaceDN w:val="0"/>
                              <w:adjustRightInd w:val="0"/>
                              <w:spacing w:after="0" w:line="288" w:lineRule="auto"/>
                              <w:textAlignment w:val="center"/>
                              <w:rPr>
                                <w:rFonts w:ascii="Arial" w:hAnsi="Arial" w:cs="Arial"/>
                                <w:b/>
                                <w:bCs/>
                                <w:color w:val="004C45"/>
                                <w:sz w:val="22"/>
                                <w:szCs w:val="22"/>
                              </w:rPr>
                            </w:pPr>
                            <w:r w:rsidRPr="00DF4BBA">
                              <w:rPr>
                                <w:rFonts w:ascii="Arial" w:hAnsi="Arial" w:cs="Arial"/>
                                <w:b/>
                                <w:bCs/>
                                <w:color w:val="004C45"/>
                                <w:sz w:val="22"/>
                                <w:szCs w:val="22"/>
                              </w:rPr>
                              <w:t>lancashirecountypensionfund.org.uk</w:t>
                            </w:r>
                          </w:p>
                          <w:p w:rsidR="003627B6" w:rsidP="00DF4BBA">
                            <w:pPr>
                              <w:autoSpaceDE w:val="0"/>
                              <w:autoSpaceDN w:val="0"/>
                              <w:adjustRightInd w:val="0"/>
                              <w:spacing w:after="0" w:line="288" w:lineRule="auto"/>
                              <w:textAlignment w:val="center"/>
                              <w:rPr>
                                <w:rFonts w:ascii="Arial" w:hAnsi="Arial" w:cs="Arial"/>
                                <w:b/>
                                <w:bCs/>
                                <w:color w:val="004C45"/>
                                <w:sz w:val="22"/>
                                <w:szCs w:val="22"/>
                              </w:rPr>
                            </w:pPr>
                          </w:p>
                          <w:p w:rsidR="003627B6" w:rsidRPr="003627B6" w:rsidP="003627B6">
                            <w:pPr>
                              <w:autoSpaceDE w:val="0"/>
                              <w:autoSpaceDN w:val="0"/>
                              <w:adjustRightInd w:val="0"/>
                              <w:spacing w:after="0" w:line="288" w:lineRule="auto"/>
                              <w:textAlignment w:val="center"/>
                              <w:rPr>
                                <w:rFonts w:ascii="Arial" w:hAnsi="Arial" w:cs="Arial"/>
                                <w:color w:val="014B44"/>
                                <w:sz w:val="15"/>
                                <w:szCs w:val="15"/>
                              </w:rPr>
                            </w:pPr>
                            <w:r w:rsidRPr="003627B6">
                              <w:rPr>
                                <w:rFonts w:ascii="Arial" w:hAnsi="Arial" w:cs="Arial"/>
                                <w:color w:val="014B44"/>
                                <w:sz w:val="15"/>
                                <w:szCs w:val="15"/>
                              </w:rPr>
                              <w:t>Lancashire County Council as administering authority of Lancashire County Pension Fund</w:t>
                            </w:r>
                          </w:p>
                          <w:p w:rsidR="003627B6" w:rsidRPr="00DF4BBA" w:rsidP="00DF4BBA">
                            <w:pPr>
                              <w:autoSpaceDE w:val="0"/>
                              <w:autoSpaceDN w:val="0"/>
                              <w:adjustRightInd w:val="0"/>
                              <w:spacing w:after="0" w:line="288" w:lineRule="auto"/>
                              <w:textAlignment w:val="center"/>
                              <w:rPr>
                                <w:rFonts w:ascii="Arial" w:hAnsi="Arial" w:cs="Arial"/>
                                <w:b/>
                                <w:bCs/>
                                <w:color w:val="004C45"/>
                                <w:sz w:val="22"/>
                                <w:szCs w:val="22"/>
                              </w:rPr>
                            </w:pPr>
                          </w:p>
                          <w:p w:rsidR="00137E6C" w:rsidRPr="00732663" w:rsidP="00137E6C">
                            <w:pPr>
                              <w:ind w:left="-284"/>
                              <w:rPr>
                                <w:color w:val="014B44"/>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51" o:spid="_x0000_s1027" type="#_x0000_t202" style="width:370.3pt;height:62pt;margin-top:766.7pt;margin-left:-1.7pt;mso-height-percent:0;mso-height-relative:margin;mso-width-percent:0;mso-width-relative:margin;mso-wrap-distance-bottom:0;mso-wrap-distance-left:9pt;mso-wrap-distance-right:9pt;mso-wrap-distance-top:0;mso-wrap-style:square;position:absolute;visibility:visible;v-text-anchor:top;z-index:251663360" filled="f" stroked="f" strokeweight="0.5pt">
                <v:textbox>
                  <w:txbxContent>
                    <w:p w:rsidR="00DF4BBA" w:rsidP="00DF4BBA">
                      <w:pPr>
                        <w:autoSpaceDE w:val="0"/>
                        <w:autoSpaceDN w:val="0"/>
                        <w:adjustRightInd w:val="0"/>
                        <w:spacing w:after="0" w:line="288" w:lineRule="auto"/>
                        <w:textAlignment w:val="center"/>
                        <w:rPr>
                          <w:rFonts w:ascii="Arial" w:hAnsi="Arial" w:cs="Arial"/>
                          <w:b/>
                          <w:bCs/>
                          <w:color w:val="004C45"/>
                          <w:sz w:val="22"/>
                          <w:szCs w:val="22"/>
                        </w:rPr>
                      </w:pPr>
                      <w:r w:rsidRPr="00DF4BBA">
                        <w:rPr>
                          <w:rFonts w:ascii="Arial" w:hAnsi="Arial" w:cs="Arial"/>
                          <w:b/>
                          <w:bCs/>
                          <w:color w:val="004C45"/>
                          <w:sz w:val="22"/>
                          <w:szCs w:val="22"/>
                        </w:rPr>
                        <w:t>lancashirecountypensionfund.org.uk</w:t>
                      </w:r>
                    </w:p>
                    <w:p w:rsidR="003627B6" w:rsidP="00DF4BBA">
                      <w:pPr>
                        <w:autoSpaceDE w:val="0"/>
                        <w:autoSpaceDN w:val="0"/>
                        <w:adjustRightInd w:val="0"/>
                        <w:spacing w:after="0" w:line="288" w:lineRule="auto"/>
                        <w:textAlignment w:val="center"/>
                        <w:rPr>
                          <w:rFonts w:ascii="Arial" w:hAnsi="Arial" w:cs="Arial"/>
                          <w:b/>
                          <w:bCs/>
                          <w:color w:val="004C45"/>
                          <w:sz w:val="22"/>
                          <w:szCs w:val="22"/>
                        </w:rPr>
                      </w:pPr>
                    </w:p>
                    <w:p w:rsidR="003627B6" w:rsidRPr="003627B6" w:rsidP="003627B6">
                      <w:pPr>
                        <w:autoSpaceDE w:val="0"/>
                        <w:autoSpaceDN w:val="0"/>
                        <w:adjustRightInd w:val="0"/>
                        <w:spacing w:after="0" w:line="288" w:lineRule="auto"/>
                        <w:textAlignment w:val="center"/>
                        <w:rPr>
                          <w:rFonts w:ascii="Arial" w:hAnsi="Arial" w:cs="Arial"/>
                          <w:color w:val="014B44"/>
                          <w:sz w:val="15"/>
                          <w:szCs w:val="15"/>
                        </w:rPr>
                      </w:pPr>
                      <w:r w:rsidRPr="003627B6">
                        <w:rPr>
                          <w:rFonts w:ascii="Arial" w:hAnsi="Arial" w:cs="Arial"/>
                          <w:color w:val="014B44"/>
                          <w:sz w:val="15"/>
                          <w:szCs w:val="15"/>
                        </w:rPr>
                        <w:t>Lancashire County Council as administering authority of Lancashire County Pension Fund</w:t>
                      </w:r>
                    </w:p>
                    <w:p w:rsidR="003627B6" w:rsidRPr="00DF4BBA" w:rsidP="00DF4BBA">
                      <w:pPr>
                        <w:autoSpaceDE w:val="0"/>
                        <w:autoSpaceDN w:val="0"/>
                        <w:adjustRightInd w:val="0"/>
                        <w:spacing w:after="0" w:line="288" w:lineRule="auto"/>
                        <w:textAlignment w:val="center"/>
                        <w:rPr>
                          <w:rFonts w:ascii="Arial" w:hAnsi="Arial" w:cs="Arial"/>
                          <w:b/>
                          <w:bCs/>
                          <w:color w:val="004C45"/>
                          <w:sz w:val="22"/>
                          <w:szCs w:val="22"/>
                        </w:rPr>
                      </w:pPr>
                    </w:p>
                    <w:p w:rsidR="00137E6C" w:rsidRPr="00732663" w:rsidP="00137E6C">
                      <w:pPr>
                        <w:ind w:left="-284"/>
                        <w:rPr>
                          <w:color w:val="014B44"/>
                        </w:rPr>
                      </w:pPr>
                    </w:p>
                  </w:txbxContent>
                </v:textbox>
              </v:shape>
            </w:pict>
          </mc:Fallback>
        </mc:AlternateContent>
      </w:r>
      <w:r>
        <w:rPr>
          <w:noProof/>
          <w:lang w:eastAsia="en-GB"/>
        </w:rPr>
        <w:drawing>
          <wp:inline distT="0" distB="0" distL="0" distR="0">
            <wp:extent cx="2303166" cy="2450177"/>
            <wp:effectExtent l="0" t="0" r="0" b="127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297966" name="Picture 10" descr="Icon&#10;&#10;Description automatically generated"/>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316710" cy="2464586"/>
                    </a:xfrm>
                    <a:prstGeom prst="rect">
                      <a:avLst/>
                    </a:prstGeom>
                  </pic:spPr>
                </pic:pic>
              </a:graphicData>
            </a:graphic>
          </wp:inline>
        </w:drawing>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-19685</wp:posOffset>
                </wp:positionH>
                <wp:positionV relativeFrom="paragraph">
                  <wp:posOffset>431801</wp:posOffset>
                </wp:positionV>
                <wp:extent cx="3937000" cy="1524000"/>
                <wp:effectExtent l="0" t="0" r="0" b="0"/>
                <wp:wrapNone/>
                <wp:docPr id="52" name="Text Box 52"/>
                <wp:cNvGraphicFramePr/>
                <a:graphic xmlns:a="http://schemas.openxmlformats.org/drawingml/2006/main">
                  <a:graphicData uri="http://schemas.microsoft.com/office/word/2010/wordprocessingShape">
                    <wps:wsp xmlns:wps="http://schemas.microsoft.com/office/word/2010/wordprocessingShape">
                      <wps:cNvSpPr txBox="1"/>
                      <wps:spPr>
                        <a:xfrm>
                          <a:off x="0" y="0"/>
                          <a:ext cx="3937000" cy="1524000"/>
                        </a:xfrm>
                        <a:prstGeom prst="rect">
                          <a:avLst/>
                        </a:prstGeom>
                        <a:solidFill>
                          <a:schemeClr val="lt1"/>
                        </a:solidFill>
                        <a:ln w="6350">
                          <a:noFill/>
                        </a:ln>
                      </wps:spPr>
                      <wps:txbx>
                        <w:txbxContent>
                          <w:p w:rsidR="00137E6C" w:rsidP="00137E6C">
                            <w:r>
                              <w:rPr>
                                <w:noProof/>
                                <w:lang w:eastAsia="en-GB"/>
                              </w:rPr>
                              <w:drawing>
                                <wp:inline distT="0" distB="0" distL="0" distR="0">
                                  <wp:extent cx="2260879" cy="866459"/>
                                  <wp:effectExtent l="0" t="0" r="0" b="0"/>
                                  <wp:docPr id="197107938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0838952" name="LCPF Logo.png"/>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2284630" cy="875561"/>
                                          </a:xfrm>
                                          <a:prstGeom prst="rect">
                                            <a:avLst/>
                                          </a:prstGeom>
                                        </pic:spPr>
                                      </pic:pic>
                                    </a:graphicData>
                                  </a:graphic>
                                </wp:inline>
                              </w:drawing>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52" o:spid="_x0000_s1028" type="#_x0000_t202" style="width:310pt;height:120pt;margin-top:34pt;margin-left:-1.55pt;mso-height-percent:0;mso-height-relative:margin;mso-width-percent:0;mso-width-relative:margin;mso-wrap-distance-bottom:0;mso-wrap-distance-left:9pt;mso-wrap-distance-right:9pt;mso-wrap-distance-top:0;mso-wrap-style:square;position:absolute;visibility:visible;v-text-anchor:top;z-index:251659264" fillcolor="white" stroked="f" strokeweight="0.5pt">
                <v:textbox>
                  <w:txbxContent>
                    <w:p w:rsidR="00137E6C" w:rsidP="00137E6C">
                      <w:drawing>
                        <wp:inline distT="0" distB="0" distL="0" distR="0">
                          <wp:extent cx="2260879" cy="866459"/>
                          <wp:effectExtent l="0" t="0" r="0" b="0"/>
                          <wp:docPr id="1363770168"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866517" name="LCPF Logo.png"/>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2284630" cy="875561"/>
                                  </a:xfrm>
                                  <a:prstGeom prst="rect">
                                    <a:avLst/>
                                  </a:prstGeom>
                                </pic:spPr>
                              </pic:pic>
                            </a:graphicData>
                          </a:graphic>
                        </wp:inline>
                      </w:drawing>
                    </w:p>
                  </w:txbxContent>
                </v:textbox>
              </v:shape>
            </w:pict>
          </mc:Fallback>
        </mc:AlternateContent>
      </w:r>
    </w:p>
    <w:p w:rsidR="00137E6C" w:rsidRPr="006D137F" w:rsidP="00137E6C"/>
    <w:p w:rsidR="003627B6" w:rsidP="005739E9">
      <w:pPr>
        <w:pStyle w:val="SubHeading-Orange"/>
        <w:rPr>
          <w:rFonts w:ascii="Georgia" w:hAnsi="Georgia"/>
          <w:b/>
          <w:bCs/>
          <w:color w:val="004C45"/>
        </w:rPr>
      </w:pPr>
    </w:p>
    <w:p w:rsidR="005739E9" w:rsidRPr="00D059E2" w:rsidP="00752E37">
      <w:pPr>
        <w:pStyle w:val="SubHeading-Orange"/>
        <w:ind w:left="142"/>
        <w:rPr>
          <w:rFonts w:ascii="Georgia" w:hAnsi="Georgia"/>
          <w:b/>
          <w:bCs/>
          <w:color w:val="004C45"/>
          <w:sz w:val="56"/>
          <w:szCs w:val="56"/>
        </w:rPr>
      </w:pPr>
      <w:r>
        <w:rPr>
          <w:rFonts w:ascii="Georgia" w:hAnsi="Georgia"/>
          <w:b/>
          <w:bCs/>
          <w:color w:val="004C45"/>
          <w:sz w:val="56"/>
          <w:szCs w:val="56"/>
        </w:rPr>
        <w:t>Contents</w:t>
      </w:r>
    </w:p>
    <w:p w:rsidR="005739E9" w:rsidP="005739E9">
      <w:pPr>
        <w:pStyle w:val="SubHeading-Orange"/>
      </w:pPr>
    </w:p>
    <w:p w:rsidR="003C5B97" w:rsidP="005739E9">
      <w:pPr>
        <w:pStyle w:val="SubHeading-Orange"/>
      </w:pPr>
    </w:p>
    <w:tbl>
      <w:tblPr>
        <w:tblStyle w:val="TableGrid"/>
        <w:tblW w:w="0" w:type="auto"/>
        <w:tblLook w:val="04A0"/>
      </w:tblPr>
      <w:tblGrid>
        <w:gridCol w:w="8075"/>
        <w:gridCol w:w="2528"/>
      </w:tblGrid>
      <w:tr w:rsidTr="003C5B97">
        <w:tblPrEx>
          <w:tblW w:w="0" w:type="auto"/>
          <w:tblLook w:val="04A0"/>
        </w:tblPrEx>
        <w:tc>
          <w:tcPr>
            <w:tcW w:w="8075" w:type="dxa"/>
          </w:tcPr>
          <w:p w:rsidR="003C5B97" w:rsidRPr="003C5B97">
            <w:pPr>
              <w:rPr>
                <w:sz w:val="28"/>
                <w:szCs w:val="28"/>
              </w:rPr>
            </w:pPr>
            <w:r w:rsidRPr="003C5B97">
              <w:rPr>
                <w:sz w:val="28"/>
                <w:szCs w:val="28"/>
              </w:rPr>
              <w:t>Int</w:t>
            </w:r>
            <w:r>
              <w:rPr>
                <w:sz w:val="28"/>
                <w:szCs w:val="28"/>
              </w:rPr>
              <w:t>roduction</w:t>
            </w:r>
          </w:p>
        </w:tc>
        <w:tc>
          <w:tcPr>
            <w:tcW w:w="2528" w:type="dxa"/>
          </w:tcPr>
          <w:p w:rsidR="003C5B97" w:rsidRPr="003C5B97" w:rsidP="00BD609C">
            <w:pPr>
              <w:jc w:val="center"/>
              <w:rPr>
                <w:sz w:val="28"/>
                <w:szCs w:val="28"/>
              </w:rPr>
            </w:pPr>
            <w:r>
              <w:rPr>
                <w:sz w:val="28"/>
                <w:szCs w:val="28"/>
              </w:rPr>
              <w:t>2</w:t>
            </w:r>
          </w:p>
        </w:tc>
      </w:tr>
      <w:tr w:rsidTr="003C5B97">
        <w:tblPrEx>
          <w:tblW w:w="0" w:type="auto"/>
          <w:tblLook w:val="04A0"/>
        </w:tblPrEx>
        <w:tc>
          <w:tcPr>
            <w:tcW w:w="8075" w:type="dxa"/>
          </w:tcPr>
          <w:p w:rsidR="003C5B97" w:rsidRPr="003C5B97">
            <w:pPr>
              <w:rPr>
                <w:sz w:val="28"/>
                <w:szCs w:val="28"/>
              </w:rPr>
            </w:pPr>
            <w:r w:rsidRPr="003C5B97">
              <w:rPr>
                <w:sz w:val="28"/>
                <w:szCs w:val="28"/>
              </w:rPr>
              <w:t>Purpose of the Governance Policy Statement</w:t>
            </w:r>
          </w:p>
        </w:tc>
        <w:tc>
          <w:tcPr>
            <w:tcW w:w="2528" w:type="dxa"/>
          </w:tcPr>
          <w:p w:rsidR="003C5B97" w:rsidRPr="003C5B97" w:rsidP="00BD609C">
            <w:pPr>
              <w:jc w:val="center"/>
              <w:rPr>
                <w:sz w:val="28"/>
                <w:szCs w:val="28"/>
              </w:rPr>
            </w:pPr>
            <w:r>
              <w:rPr>
                <w:sz w:val="28"/>
                <w:szCs w:val="28"/>
              </w:rPr>
              <w:t>2</w:t>
            </w:r>
          </w:p>
        </w:tc>
      </w:tr>
      <w:tr w:rsidTr="003C5B97">
        <w:tblPrEx>
          <w:tblW w:w="0" w:type="auto"/>
          <w:tblLook w:val="04A0"/>
        </w:tblPrEx>
        <w:tc>
          <w:tcPr>
            <w:tcW w:w="8075" w:type="dxa"/>
          </w:tcPr>
          <w:p w:rsidR="003C5B97" w:rsidRPr="003C5B97">
            <w:pPr>
              <w:rPr>
                <w:sz w:val="28"/>
                <w:szCs w:val="28"/>
              </w:rPr>
            </w:pPr>
            <w:r w:rsidRPr="003C5B97">
              <w:rPr>
                <w:sz w:val="28"/>
                <w:szCs w:val="28"/>
              </w:rPr>
              <w:t>Governance of the Lancashire County Pension Fund</w:t>
            </w:r>
          </w:p>
        </w:tc>
        <w:tc>
          <w:tcPr>
            <w:tcW w:w="2528" w:type="dxa"/>
          </w:tcPr>
          <w:p w:rsidR="003C5B97" w:rsidRPr="003C5B97" w:rsidP="00BD609C">
            <w:pPr>
              <w:jc w:val="center"/>
              <w:rPr>
                <w:sz w:val="28"/>
                <w:szCs w:val="28"/>
              </w:rPr>
            </w:pPr>
            <w:r>
              <w:rPr>
                <w:sz w:val="28"/>
                <w:szCs w:val="28"/>
              </w:rPr>
              <w:t>2</w:t>
            </w:r>
          </w:p>
        </w:tc>
      </w:tr>
      <w:tr w:rsidTr="003C5B97">
        <w:tblPrEx>
          <w:tblW w:w="0" w:type="auto"/>
          <w:tblLook w:val="04A0"/>
        </w:tblPrEx>
        <w:tc>
          <w:tcPr>
            <w:tcW w:w="8075" w:type="dxa"/>
          </w:tcPr>
          <w:p w:rsidR="003C5B97" w:rsidRPr="003C5B97">
            <w:pPr>
              <w:rPr>
                <w:sz w:val="28"/>
                <w:szCs w:val="28"/>
              </w:rPr>
            </w:pPr>
            <w:r w:rsidRPr="003C5B97">
              <w:rPr>
                <w:sz w:val="28"/>
                <w:szCs w:val="28"/>
              </w:rPr>
              <w:t>The Pension Fund Committee</w:t>
            </w:r>
          </w:p>
        </w:tc>
        <w:tc>
          <w:tcPr>
            <w:tcW w:w="2528" w:type="dxa"/>
          </w:tcPr>
          <w:p w:rsidR="003C5B97" w:rsidRPr="003C5B97" w:rsidP="00BD609C">
            <w:pPr>
              <w:jc w:val="center"/>
              <w:rPr>
                <w:sz w:val="28"/>
                <w:szCs w:val="28"/>
              </w:rPr>
            </w:pPr>
            <w:r>
              <w:rPr>
                <w:sz w:val="28"/>
                <w:szCs w:val="28"/>
              </w:rPr>
              <w:t>3</w:t>
            </w:r>
          </w:p>
        </w:tc>
      </w:tr>
      <w:tr w:rsidTr="003C5B97">
        <w:tblPrEx>
          <w:tblW w:w="0" w:type="auto"/>
          <w:tblLook w:val="04A0"/>
        </w:tblPrEx>
        <w:tc>
          <w:tcPr>
            <w:tcW w:w="8075" w:type="dxa"/>
          </w:tcPr>
          <w:p w:rsidR="003C5B97" w:rsidRPr="003C5B97">
            <w:pPr>
              <w:rPr>
                <w:sz w:val="28"/>
                <w:szCs w:val="28"/>
              </w:rPr>
            </w:pPr>
            <w:r w:rsidRPr="003C5B97">
              <w:rPr>
                <w:sz w:val="28"/>
                <w:szCs w:val="28"/>
              </w:rPr>
              <w:t>Pension Fund Committee – Scheme of Delegation Arrangements</w:t>
            </w:r>
          </w:p>
        </w:tc>
        <w:tc>
          <w:tcPr>
            <w:tcW w:w="2528" w:type="dxa"/>
          </w:tcPr>
          <w:p w:rsidR="003C5B97" w:rsidRPr="003C5B97" w:rsidP="00BD609C">
            <w:pPr>
              <w:jc w:val="center"/>
              <w:rPr>
                <w:sz w:val="28"/>
                <w:szCs w:val="28"/>
              </w:rPr>
            </w:pPr>
            <w:r>
              <w:rPr>
                <w:sz w:val="28"/>
                <w:szCs w:val="28"/>
              </w:rPr>
              <w:t>3</w:t>
            </w:r>
          </w:p>
        </w:tc>
      </w:tr>
      <w:tr w:rsidTr="003C5B97">
        <w:tblPrEx>
          <w:tblW w:w="0" w:type="auto"/>
          <w:tblLook w:val="04A0"/>
        </w:tblPrEx>
        <w:tc>
          <w:tcPr>
            <w:tcW w:w="8075" w:type="dxa"/>
          </w:tcPr>
          <w:p w:rsidR="003C5B97" w:rsidRPr="003C5B97">
            <w:pPr>
              <w:rPr>
                <w:sz w:val="28"/>
                <w:szCs w:val="28"/>
              </w:rPr>
            </w:pPr>
            <w:r w:rsidRPr="003C5B97">
              <w:rPr>
                <w:sz w:val="28"/>
                <w:szCs w:val="28"/>
              </w:rPr>
              <w:t>Investment Panel</w:t>
            </w:r>
          </w:p>
        </w:tc>
        <w:tc>
          <w:tcPr>
            <w:tcW w:w="2528" w:type="dxa"/>
          </w:tcPr>
          <w:p w:rsidR="003C5B97" w:rsidRPr="003C5B97" w:rsidP="00BD609C">
            <w:pPr>
              <w:jc w:val="center"/>
              <w:rPr>
                <w:sz w:val="28"/>
                <w:szCs w:val="28"/>
              </w:rPr>
            </w:pPr>
            <w:r>
              <w:rPr>
                <w:sz w:val="28"/>
                <w:szCs w:val="28"/>
              </w:rPr>
              <w:t>3</w:t>
            </w:r>
          </w:p>
        </w:tc>
      </w:tr>
      <w:tr w:rsidTr="003C5B97">
        <w:tblPrEx>
          <w:tblW w:w="0" w:type="auto"/>
          <w:tblLook w:val="04A0"/>
        </w:tblPrEx>
        <w:tc>
          <w:tcPr>
            <w:tcW w:w="8075" w:type="dxa"/>
          </w:tcPr>
          <w:p w:rsidR="003C5B97" w:rsidRPr="003C5B97">
            <w:pPr>
              <w:rPr>
                <w:sz w:val="28"/>
                <w:szCs w:val="28"/>
              </w:rPr>
            </w:pPr>
            <w:r w:rsidRPr="003C5B97">
              <w:rPr>
                <w:sz w:val="28"/>
                <w:szCs w:val="28"/>
              </w:rPr>
              <w:t>Pension Board of the Lancashire County Pension Fund</w:t>
            </w:r>
          </w:p>
        </w:tc>
        <w:tc>
          <w:tcPr>
            <w:tcW w:w="2528" w:type="dxa"/>
          </w:tcPr>
          <w:p w:rsidR="003C5B97" w:rsidRPr="003C5B97" w:rsidP="00BD609C">
            <w:pPr>
              <w:jc w:val="center"/>
              <w:rPr>
                <w:sz w:val="28"/>
                <w:szCs w:val="28"/>
              </w:rPr>
            </w:pPr>
            <w:r>
              <w:rPr>
                <w:sz w:val="28"/>
                <w:szCs w:val="28"/>
              </w:rPr>
              <w:t>3</w:t>
            </w:r>
          </w:p>
        </w:tc>
      </w:tr>
      <w:tr w:rsidTr="003C5B97">
        <w:tblPrEx>
          <w:tblW w:w="0" w:type="auto"/>
          <w:tblLook w:val="04A0"/>
        </w:tblPrEx>
        <w:tc>
          <w:tcPr>
            <w:tcW w:w="8075" w:type="dxa"/>
          </w:tcPr>
          <w:p w:rsidR="003C5B97" w:rsidRPr="003C5B97">
            <w:pPr>
              <w:rPr>
                <w:sz w:val="28"/>
                <w:szCs w:val="28"/>
              </w:rPr>
            </w:pPr>
            <w:r w:rsidRPr="00BD609C">
              <w:rPr>
                <w:sz w:val="28"/>
                <w:szCs w:val="28"/>
              </w:rPr>
              <w:t>Compliance with Good Practice in Engagement and Representation</w:t>
            </w:r>
          </w:p>
        </w:tc>
        <w:tc>
          <w:tcPr>
            <w:tcW w:w="2528" w:type="dxa"/>
          </w:tcPr>
          <w:p w:rsidR="003C5B97" w:rsidRPr="003C5B97" w:rsidP="00BD609C">
            <w:pPr>
              <w:jc w:val="center"/>
              <w:rPr>
                <w:sz w:val="28"/>
                <w:szCs w:val="28"/>
              </w:rPr>
            </w:pPr>
            <w:r>
              <w:rPr>
                <w:sz w:val="28"/>
                <w:szCs w:val="28"/>
              </w:rPr>
              <w:t>4</w:t>
            </w:r>
          </w:p>
        </w:tc>
      </w:tr>
      <w:tr w:rsidTr="003C5B97">
        <w:tblPrEx>
          <w:tblW w:w="0" w:type="auto"/>
          <w:tblLook w:val="04A0"/>
        </w:tblPrEx>
        <w:tc>
          <w:tcPr>
            <w:tcW w:w="8075" w:type="dxa"/>
          </w:tcPr>
          <w:p w:rsidR="00BD609C" w:rsidRPr="003C5B97">
            <w:pPr>
              <w:rPr>
                <w:sz w:val="28"/>
                <w:szCs w:val="28"/>
              </w:rPr>
            </w:pPr>
          </w:p>
        </w:tc>
        <w:tc>
          <w:tcPr>
            <w:tcW w:w="2528" w:type="dxa"/>
          </w:tcPr>
          <w:p w:rsidR="00BD609C" w:rsidRPr="003C5B97" w:rsidP="00BD609C">
            <w:pPr>
              <w:jc w:val="center"/>
              <w:rPr>
                <w:sz w:val="28"/>
                <w:szCs w:val="28"/>
              </w:rPr>
            </w:pPr>
          </w:p>
        </w:tc>
      </w:tr>
      <w:tr w:rsidTr="003C5B97">
        <w:tblPrEx>
          <w:tblW w:w="0" w:type="auto"/>
          <w:tblLook w:val="04A0"/>
        </w:tblPrEx>
        <w:tc>
          <w:tcPr>
            <w:tcW w:w="8075" w:type="dxa"/>
          </w:tcPr>
          <w:p w:rsidR="003C5B97">
            <w:pPr>
              <w:rPr>
                <w:sz w:val="28"/>
                <w:szCs w:val="28"/>
              </w:rPr>
            </w:pPr>
            <w:r>
              <w:rPr>
                <w:sz w:val="28"/>
                <w:szCs w:val="28"/>
              </w:rPr>
              <w:t>Appendix 'A'</w:t>
            </w:r>
          </w:p>
          <w:p w:rsidR="003C5B97" w:rsidRPr="003C5B97">
            <w:pPr>
              <w:rPr>
                <w:sz w:val="28"/>
                <w:szCs w:val="28"/>
              </w:rPr>
            </w:pPr>
            <w:r w:rsidRPr="003C5B97">
              <w:rPr>
                <w:sz w:val="28"/>
                <w:szCs w:val="28"/>
              </w:rPr>
              <w:t>Lancashire County Pension Fund Governance Compliance Statement:</w:t>
            </w:r>
          </w:p>
        </w:tc>
        <w:tc>
          <w:tcPr>
            <w:tcW w:w="2528" w:type="dxa"/>
          </w:tcPr>
          <w:p w:rsidR="003C5B97" w:rsidP="00BD609C">
            <w:pPr>
              <w:jc w:val="center"/>
              <w:rPr>
                <w:sz w:val="28"/>
                <w:szCs w:val="28"/>
              </w:rPr>
            </w:pPr>
          </w:p>
          <w:p w:rsidR="00BD609C" w:rsidRPr="003C5B97" w:rsidP="00BD609C">
            <w:pPr>
              <w:jc w:val="center"/>
              <w:rPr>
                <w:sz w:val="28"/>
                <w:szCs w:val="28"/>
              </w:rPr>
            </w:pPr>
            <w:r>
              <w:rPr>
                <w:sz w:val="28"/>
                <w:szCs w:val="28"/>
              </w:rPr>
              <w:t>7</w:t>
            </w:r>
          </w:p>
        </w:tc>
      </w:tr>
    </w:tbl>
    <w:p w:rsidR="003C5B97"/>
    <w:p w:rsidR="003C5B97"/>
    <w:p w:rsidR="003C5B97"/>
    <w:p w:rsidR="003C5B97"/>
    <w:p w:rsidR="005739E9">
      <w:r>
        <w:br w:type="page"/>
      </w:r>
    </w:p>
    <w:p w:rsidR="003C5B97" w:rsidRPr="006D137F" w:rsidP="003C5B97"/>
    <w:p w:rsidR="003C5B97" w:rsidP="003C5B97">
      <w:pPr>
        <w:pStyle w:val="SubHeading-Orange"/>
        <w:rPr>
          <w:rFonts w:ascii="Georgia" w:hAnsi="Georgia"/>
          <w:b/>
          <w:bCs/>
          <w:color w:val="004C45"/>
        </w:rPr>
      </w:pPr>
    </w:p>
    <w:p w:rsidR="003C5B97" w:rsidRPr="00D059E2" w:rsidP="003C5B97">
      <w:pPr>
        <w:pStyle w:val="SubHeading-Orange"/>
        <w:ind w:left="142"/>
        <w:rPr>
          <w:rFonts w:ascii="Georgia" w:hAnsi="Georgia"/>
          <w:b/>
          <w:bCs/>
          <w:color w:val="004C45"/>
          <w:sz w:val="56"/>
          <w:szCs w:val="56"/>
        </w:rPr>
      </w:pPr>
      <w:r>
        <w:rPr>
          <w:rFonts w:ascii="Georgia" w:hAnsi="Georgia"/>
          <w:b/>
          <w:bCs/>
          <w:color w:val="004C45"/>
          <w:sz w:val="56"/>
          <w:szCs w:val="56"/>
        </w:rPr>
        <w:t>Introduction</w:t>
      </w:r>
    </w:p>
    <w:p w:rsidR="003C5B97" w:rsidP="003C5B97">
      <w:pPr>
        <w:pStyle w:val="SubHeading-Orange"/>
      </w:pPr>
    </w:p>
    <w:p w:rsidR="003C5B97" w:rsidP="003C5B97">
      <w:pPr>
        <w:pStyle w:val="SubHeading-Orange"/>
      </w:pPr>
    </w:p>
    <w:p w:rsidR="003C5B97" w:rsidRPr="0093691E" w:rsidP="003C5B97">
      <w:pPr>
        <w:spacing w:after="0"/>
        <w:rPr>
          <w:rFonts w:cs="Arial"/>
          <w:b/>
        </w:rPr>
      </w:pPr>
    </w:p>
    <w:p w:rsidR="003C5B97" w:rsidRPr="0093691E" w:rsidP="003C5B97">
      <w:pPr>
        <w:pStyle w:val="ListParagraph"/>
        <w:numPr>
          <w:ilvl w:val="0"/>
          <w:numId w:val="2"/>
        </w:numPr>
        <w:tabs>
          <w:tab w:val="left" w:pos="567"/>
        </w:tabs>
        <w:spacing w:after="0"/>
        <w:ind w:left="567" w:hanging="567"/>
        <w:jc w:val="left"/>
        <w:rPr>
          <w:rFonts w:asciiTheme="minorHAnsi" w:hAnsiTheme="minorHAnsi" w:cs="Arial"/>
        </w:rPr>
      </w:pPr>
      <w:r w:rsidRPr="0093691E">
        <w:rPr>
          <w:rFonts w:asciiTheme="minorHAnsi" w:hAnsiTheme="minorHAnsi" w:cs="Arial"/>
        </w:rPr>
        <w:t>This is the Governance Policy Statement of Lancashire County Pension Fund, administered by Lancashire County Council, the administering authority.  All Local Government Pension Scheme (LGPS) Funds in England and Wales are required to publish a Statement under regulation 55 of the LGPS Regulations 2013.</w:t>
      </w:r>
    </w:p>
    <w:p w:rsidR="003C5B97" w:rsidRPr="0093691E" w:rsidP="003C5B97">
      <w:pPr>
        <w:tabs>
          <w:tab w:val="left" w:pos="567"/>
        </w:tabs>
        <w:spacing w:after="0"/>
        <w:ind w:left="567" w:hanging="567"/>
        <w:rPr>
          <w:rFonts w:cs="Arial"/>
        </w:rPr>
      </w:pPr>
    </w:p>
    <w:p w:rsidR="003C5B97" w:rsidRPr="0093691E" w:rsidP="003C5B97">
      <w:pPr>
        <w:pStyle w:val="ListParagraph"/>
        <w:numPr>
          <w:ilvl w:val="0"/>
          <w:numId w:val="2"/>
        </w:numPr>
        <w:tabs>
          <w:tab w:val="left" w:pos="567"/>
        </w:tabs>
        <w:spacing w:after="0"/>
        <w:ind w:left="567" w:hanging="567"/>
        <w:jc w:val="left"/>
        <w:rPr>
          <w:rFonts w:asciiTheme="minorHAnsi" w:hAnsiTheme="minorHAnsi" w:cs="Arial"/>
        </w:rPr>
      </w:pPr>
      <w:r w:rsidRPr="0093691E">
        <w:rPr>
          <w:rFonts w:asciiTheme="minorHAnsi" w:hAnsiTheme="minorHAnsi" w:cs="Arial"/>
        </w:rPr>
        <w:t>This statement has been prepared by the administering authority in consultation with appropriate interested persons.</w:t>
      </w:r>
    </w:p>
    <w:p w:rsidR="003C5B97" w:rsidRPr="00BE6B7C" w:rsidP="003C5B97">
      <w:pPr>
        <w:pStyle w:val="ListParagraph"/>
        <w:tabs>
          <w:tab w:val="left" w:pos="567"/>
        </w:tabs>
        <w:spacing w:after="0"/>
        <w:ind w:left="567" w:hanging="567"/>
        <w:rPr>
          <w:rFonts w:cs="Arial"/>
          <w:b/>
        </w:rPr>
      </w:pPr>
    </w:p>
    <w:p w:rsidR="003C5B97" w:rsidRPr="00BE6B7C" w:rsidP="003C5B97">
      <w:pPr>
        <w:spacing w:after="0"/>
        <w:rPr>
          <w:rFonts w:cs="Arial"/>
          <w:b/>
          <w:sz w:val="28"/>
          <w:szCs w:val="28"/>
        </w:rPr>
      </w:pPr>
      <w:r w:rsidRPr="00BE6B7C">
        <w:rPr>
          <w:rFonts w:cs="Arial"/>
          <w:b/>
          <w:sz w:val="28"/>
          <w:szCs w:val="28"/>
        </w:rPr>
        <w:t>Purpose of the Governance Policy Statement</w:t>
      </w:r>
    </w:p>
    <w:p w:rsidR="003C5B97" w:rsidRPr="00BE6B7C" w:rsidP="003C5B97">
      <w:pPr>
        <w:spacing w:after="0"/>
        <w:rPr>
          <w:rFonts w:cs="Arial"/>
          <w:b/>
        </w:rPr>
      </w:pPr>
    </w:p>
    <w:p w:rsidR="003C5B97" w:rsidRPr="0093691E" w:rsidP="003C5B97">
      <w:pPr>
        <w:pStyle w:val="ListParagraph"/>
        <w:numPr>
          <w:ilvl w:val="0"/>
          <w:numId w:val="2"/>
        </w:numPr>
        <w:tabs>
          <w:tab w:val="left" w:pos="567"/>
        </w:tabs>
        <w:spacing w:after="0"/>
        <w:ind w:left="567" w:hanging="567"/>
        <w:jc w:val="left"/>
        <w:rPr>
          <w:rFonts w:asciiTheme="minorHAnsi" w:hAnsiTheme="minorHAnsi" w:cs="Arial"/>
        </w:rPr>
      </w:pPr>
      <w:r w:rsidRPr="0093691E">
        <w:rPr>
          <w:rFonts w:asciiTheme="minorHAnsi" w:hAnsiTheme="minorHAnsi" w:cs="Arial"/>
        </w:rPr>
        <w:t>The regulations regarding governance policy statements require an administering authority, after consultation with such persons as they consider appropriate, to prepare, maintain, publish and keep under review a written statement setting out:</w:t>
      </w:r>
      <w:r w:rsidRPr="0093691E">
        <w:rPr>
          <w:rFonts w:asciiTheme="minorHAnsi" w:hAnsiTheme="minorHAnsi" w:cs="Arial"/>
        </w:rPr>
        <w:br/>
      </w:r>
    </w:p>
    <w:p w:rsidR="003C5B97" w:rsidRPr="0093691E" w:rsidP="003C5B97">
      <w:pPr>
        <w:pStyle w:val="legclearfix2"/>
        <w:numPr>
          <w:ilvl w:val="0"/>
          <w:numId w:val="3"/>
        </w:numPr>
        <w:tabs>
          <w:tab w:val="left" w:pos="1134"/>
        </w:tabs>
        <w:spacing w:after="0" w:line="240" w:lineRule="auto"/>
        <w:rPr>
          <w:rStyle w:val="legds2"/>
          <w:rFonts w:asciiTheme="minorHAnsi" w:hAnsiTheme="minorHAnsi" w:cs="Arial"/>
          <w:color w:val="auto"/>
          <w:sz w:val="24"/>
          <w:szCs w:val="24"/>
          <w:lang w:val="en"/>
        </w:rPr>
      </w:pPr>
      <w:r w:rsidRPr="0093691E">
        <w:rPr>
          <w:rStyle w:val="legds2"/>
          <w:rFonts w:asciiTheme="minorHAnsi" w:hAnsiTheme="minorHAnsi" w:cs="Arial"/>
          <w:color w:val="auto"/>
          <w:sz w:val="24"/>
          <w:szCs w:val="24"/>
          <w:lang w:val="en"/>
          <w:specVanish w:val="0"/>
        </w:rPr>
        <w:t>whether the authority delegates its functions, or part of its functions under these Regulations to a committee, a sub-committee or an officer of the authority;</w:t>
      </w:r>
    </w:p>
    <w:p w:rsidR="003C5B97" w:rsidRPr="0093691E" w:rsidP="003C5B97">
      <w:pPr>
        <w:pStyle w:val="legclearfix2"/>
        <w:tabs>
          <w:tab w:val="left" w:pos="1134"/>
        </w:tabs>
        <w:spacing w:after="0" w:line="240" w:lineRule="auto"/>
        <w:ind w:left="1131"/>
        <w:rPr>
          <w:rFonts w:asciiTheme="minorHAnsi" w:hAnsiTheme="minorHAnsi" w:cs="Arial"/>
          <w:color w:val="auto"/>
          <w:sz w:val="24"/>
          <w:szCs w:val="24"/>
          <w:lang w:val="en"/>
        </w:rPr>
      </w:pPr>
    </w:p>
    <w:p w:rsidR="003C5B97" w:rsidRPr="0093691E" w:rsidP="003C5B97">
      <w:pPr>
        <w:pStyle w:val="legclearfix2"/>
        <w:numPr>
          <w:ilvl w:val="0"/>
          <w:numId w:val="3"/>
        </w:numPr>
        <w:tabs>
          <w:tab w:val="left" w:pos="1134"/>
        </w:tabs>
        <w:spacing w:after="0" w:line="240" w:lineRule="auto"/>
        <w:rPr>
          <w:rStyle w:val="legds2"/>
          <w:rFonts w:asciiTheme="minorHAnsi" w:hAnsiTheme="minorHAnsi" w:cs="Arial"/>
          <w:color w:val="auto"/>
          <w:sz w:val="24"/>
          <w:szCs w:val="24"/>
          <w:lang w:val="en"/>
        </w:rPr>
      </w:pPr>
      <w:r w:rsidRPr="0093691E">
        <w:rPr>
          <w:rStyle w:val="legds2"/>
          <w:rFonts w:asciiTheme="minorHAnsi" w:hAnsiTheme="minorHAnsi" w:cs="Arial"/>
          <w:color w:val="auto"/>
          <w:sz w:val="24"/>
          <w:szCs w:val="24"/>
          <w:lang w:val="en"/>
          <w:specVanish w:val="0"/>
        </w:rPr>
        <w:t>if the authority does so—</w:t>
      </w:r>
    </w:p>
    <w:p w:rsidR="003C5B97" w:rsidRPr="0093691E" w:rsidP="003C5B97">
      <w:pPr>
        <w:pStyle w:val="legclearfix2"/>
        <w:tabs>
          <w:tab w:val="left" w:pos="1134"/>
        </w:tabs>
        <w:spacing w:after="0" w:line="240" w:lineRule="auto"/>
        <w:ind w:left="1131"/>
        <w:rPr>
          <w:rFonts w:asciiTheme="minorHAnsi" w:hAnsiTheme="minorHAnsi" w:cs="Arial"/>
          <w:color w:val="auto"/>
          <w:sz w:val="24"/>
          <w:szCs w:val="24"/>
          <w:lang w:val="en"/>
        </w:rPr>
      </w:pPr>
    </w:p>
    <w:p w:rsidR="003C5B97" w:rsidRPr="0093691E" w:rsidP="003C5B97">
      <w:pPr>
        <w:pStyle w:val="legclearfix2"/>
        <w:numPr>
          <w:ilvl w:val="0"/>
          <w:numId w:val="4"/>
        </w:numPr>
        <w:tabs>
          <w:tab w:val="left" w:pos="1134"/>
          <w:tab w:val="left" w:pos="1843"/>
        </w:tabs>
        <w:spacing w:after="0" w:line="240" w:lineRule="auto"/>
        <w:rPr>
          <w:rFonts w:asciiTheme="minorHAnsi" w:hAnsiTheme="minorHAnsi" w:cs="Arial"/>
          <w:color w:val="auto"/>
          <w:sz w:val="24"/>
          <w:szCs w:val="24"/>
          <w:lang w:val="en"/>
        </w:rPr>
      </w:pPr>
      <w:r w:rsidRPr="0093691E">
        <w:rPr>
          <w:rFonts w:asciiTheme="minorHAnsi" w:hAnsiTheme="minorHAnsi" w:cs="Arial"/>
          <w:color w:val="auto"/>
          <w:sz w:val="24"/>
          <w:szCs w:val="24"/>
          <w:lang w:val="en"/>
        </w:rPr>
        <w:t>the terms, structure and operational procedures of the delegation,</w:t>
      </w:r>
    </w:p>
    <w:p w:rsidR="003C5B97" w:rsidRPr="0093691E" w:rsidP="003C5B97">
      <w:pPr>
        <w:pStyle w:val="legclearfix2"/>
        <w:tabs>
          <w:tab w:val="left" w:pos="1134"/>
          <w:tab w:val="left" w:pos="1843"/>
        </w:tabs>
        <w:spacing w:after="0" w:line="240" w:lineRule="auto"/>
        <w:ind w:left="1854"/>
        <w:rPr>
          <w:rFonts w:asciiTheme="minorHAnsi" w:hAnsiTheme="minorHAnsi" w:cs="Arial"/>
          <w:color w:val="auto"/>
          <w:sz w:val="24"/>
          <w:szCs w:val="24"/>
          <w:lang w:val="en"/>
        </w:rPr>
      </w:pPr>
    </w:p>
    <w:p w:rsidR="003C5B97" w:rsidRPr="0093691E" w:rsidP="003C5B97">
      <w:pPr>
        <w:pStyle w:val="legclearfix2"/>
        <w:numPr>
          <w:ilvl w:val="0"/>
          <w:numId w:val="4"/>
        </w:numPr>
        <w:tabs>
          <w:tab w:val="left" w:pos="1134"/>
          <w:tab w:val="left" w:pos="1843"/>
        </w:tabs>
        <w:spacing w:after="0" w:line="240" w:lineRule="auto"/>
        <w:rPr>
          <w:rFonts w:asciiTheme="minorHAnsi" w:hAnsiTheme="minorHAnsi" w:cs="Arial"/>
          <w:color w:val="auto"/>
          <w:sz w:val="24"/>
          <w:szCs w:val="24"/>
          <w:lang w:val="en"/>
        </w:rPr>
      </w:pPr>
      <w:r w:rsidRPr="0093691E">
        <w:rPr>
          <w:rFonts w:asciiTheme="minorHAnsi" w:hAnsiTheme="minorHAnsi" w:cs="Arial"/>
          <w:color w:val="auto"/>
          <w:sz w:val="24"/>
          <w:szCs w:val="24"/>
          <w:lang w:val="en"/>
        </w:rPr>
        <w:t>the frequency of any committee or sub-committee meetings,</w:t>
      </w:r>
    </w:p>
    <w:p w:rsidR="003C5B97" w:rsidRPr="0093691E" w:rsidP="003C5B97">
      <w:pPr>
        <w:pStyle w:val="legclearfix2"/>
        <w:tabs>
          <w:tab w:val="left" w:pos="1134"/>
          <w:tab w:val="left" w:pos="1843"/>
        </w:tabs>
        <w:spacing w:after="0" w:line="240" w:lineRule="auto"/>
        <w:ind w:left="1854"/>
        <w:rPr>
          <w:rFonts w:asciiTheme="minorHAnsi" w:hAnsiTheme="minorHAnsi" w:cs="Arial"/>
          <w:color w:val="auto"/>
          <w:sz w:val="24"/>
          <w:szCs w:val="24"/>
          <w:lang w:val="en"/>
        </w:rPr>
      </w:pPr>
    </w:p>
    <w:p w:rsidR="003C5B97" w:rsidRPr="0093691E" w:rsidP="003C5B97">
      <w:pPr>
        <w:pStyle w:val="legclearfix2"/>
        <w:numPr>
          <w:ilvl w:val="0"/>
          <w:numId w:val="4"/>
        </w:numPr>
        <w:tabs>
          <w:tab w:val="left" w:pos="1134"/>
          <w:tab w:val="left" w:pos="1843"/>
        </w:tabs>
        <w:spacing w:after="0" w:line="240" w:lineRule="auto"/>
        <w:rPr>
          <w:rFonts w:asciiTheme="minorHAnsi" w:hAnsiTheme="minorHAnsi" w:cs="Arial"/>
          <w:color w:val="auto"/>
          <w:sz w:val="24"/>
          <w:szCs w:val="24"/>
          <w:lang w:val="en"/>
        </w:rPr>
      </w:pPr>
      <w:r w:rsidRPr="0093691E">
        <w:rPr>
          <w:rFonts w:asciiTheme="minorHAnsi" w:hAnsiTheme="minorHAnsi" w:cs="Arial"/>
          <w:color w:val="auto"/>
          <w:sz w:val="24"/>
          <w:szCs w:val="24"/>
          <w:lang w:val="en"/>
        </w:rPr>
        <w:t>whether such a committee or sub-committee includes representatives of Scheme employers or members, and if so, whether those representatives have voting rights;</w:t>
      </w:r>
    </w:p>
    <w:p w:rsidR="003C5B97" w:rsidRPr="0093691E" w:rsidP="003C5B97">
      <w:pPr>
        <w:pStyle w:val="legclearfix2"/>
        <w:tabs>
          <w:tab w:val="left" w:pos="1134"/>
          <w:tab w:val="left" w:pos="1843"/>
        </w:tabs>
        <w:spacing w:after="0" w:line="240" w:lineRule="auto"/>
        <w:rPr>
          <w:rFonts w:asciiTheme="minorHAnsi" w:hAnsiTheme="minorHAnsi" w:cs="Arial"/>
          <w:color w:val="auto"/>
          <w:sz w:val="24"/>
          <w:szCs w:val="24"/>
          <w:lang w:val="en"/>
        </w:rPr>
      </w:pPr>
    </w:p>
    <w:p w:rsidR="003C5B97" w:rsidRPr="0093691E" w:rsidP="003C5B97">
      <w:pPr>
        <w:pStyle w:val="legclearfix2"/>
        <w:numPr>
          <w:ilvl w:val="0"/>
          <w:numId w:val="3"/>
        </w:numPr>
        <w:tabs>
          <w:tab w:val="left" w:pos="1134"/>
        </w:tabs>
        <w:spacing w:after="0" w:line="240" w:lineRule="auto"/>
        <w:rPr>
          <w:rStyle w:val="legds2"/>
          <w:rFonts w:asciiTheme="minorHAnsi" w:hAnsiTheme="minorHAnsi" w:cs="Arial"/>
          <w:color w:val="auto"/>
          <w:sz w:val="24"/>
          <w:szCs w:val="24"/>
          <w:lang w:val="en"/>
        </w:rPr>
      </w:pPr>
      <w:r w:rsidRPr="0093691E">
        <w:rPr>
          <w:rStyle w:val="legds2"/>
          <w:rFonts w:asciiTheme="minorHAnsi" w:hAnsiTheme="minorHAnsi" w:cs="Arial"/>
          <w:color w:val="auto"/>
          <w:sz w:val="24"/>
          <w:szCs w:val="24"/>
          <w:lang w:val="en"/>
          <w:specVanish w:val="0"/>
        </w:rPr>
        <w:t>the extent to which a delegation, or the absence of a delegation, complies with guidance given by the Secretary of State and, to the extent that it does not so comply, the reasons for not complying; and</w:t>
      </w:r>
    </w:p>
    <w:p w:rsidR="003C5B97" w:rsidRPr="0093691E" w:rsidP="003C5B97">
      <w:pPr>
        <w:pStyle w:val="legclearfix2"/>
        <w:tabs>
          <w:tab w:val="left" w:pos="1134"/>
        </w:tabs>
        <w:spacing w:after="0" w:line="240" w:lineRule="auto"/>
        <w:ind w:left="1131"/>
        <w:rPr>
          <w:rFonts w:asciiTheme="minorHAnsi" w:hAnsiTheme="minorHAnsi" w:cs="Arial"/>
          <w:color w:val="auto"/>
          <w:sz w:val="24"/>
          <w:szCs w:val="24"/>
          <w:lang w:val="en"/>
        </w:rPr>
      </w:pPr>
    </w:p>
    <w:p w:rsidR="003C5B97" w:rsidRPr="0093691E" w:rsidP="003C5B97">
      <w:pPr>
        <w:pStyle w:val="legclearfix2"/>
        <w:tabs>
          <w:tab w:val="left" w:pos="1134"/>
        </w:tabs>
        <w:spacing w:after="0" w:line="240" w:lineRule="auto"/>
        <w:ind w:left="1134" w:hanging="567"/>
        <w:rPr>
          <w:rFonts w:asciiTheme="minorHAnsi" w:hAnsiTheme="minorHAnsi" w:cs="Arial"/>
          <w:color w:val="auto"/>
          <w:sz w:val="24"/>
          <w:szCs w:val="24"/>
          <w:lang w:val="en"/>
        </w:rPr>
      </w:pPr>
      <w:r w:rsidRPr="0093691E">
        <w:rPr>
          <w:rStyle w:val="legds2"/>
          <w:rFonts w:asciiTheme="minorHAnsi" w:hAnsiTheme="minorHAnsi" w:cs="Arial"/>
          <w:color w:val="auto"/>
          <w:sz w:val="24"/>
          <w:szCs w:val="24"/>
          <w:lang w:val="en"/>
          <w:specVanish w:val="0"/>
        </w:rPr>
        <w:t>(d)</w:t>
      </w:r>
      <w:r w:rsidRPr="0093691E">
        <w:rPr>
          <w:rStyle w:val="legds2"/>
          <w:rFonts w:asciiTheme="minorHAnsi" w:hAnsiTheme="minorHAnsi" w:cs="Arial"/>
          <w:color w:val="auto"/>
          <w:sz w:val="24"/>
          <w:szCs w:val="24"/>
          <w:lang w:val="en"/>
          <w:specVanish w:val="0"/>
        </w:rPr>
        <w:tab/>
        <w:t xml:space="preserve">details of the terms, structure and operational procedures relating to the local pension board established under regulation 53(4) </w:t>
      </w:r>
    </w:p>
    <w:p w:rsidR="003C5B97" w:rsidRPr="0093691E" w:rsidP="003C5B97">
      <w:pPr>
        <w:pStyle w:val="legp2paratext1"/>
        <w:spacing w:after="0" w:line="240" w:lineRule="auto"/>
        <w:ind w:left="720" w:firstLine="0"/>
        <w:rPr>
          <w:rFonts w:asciiTheme="minorHAnsi" w:hAnsiTheme="minorHAnsi" w:cs="Arial"/>
          <w:color w:val="FF0000"/>
          <w:sz w:val="18"/>
          <w:szCs w:val="18"/>
          <w:lang w:val="en"/>
        </w:rPr>
      </w:pPr>
    </w:p>
    <w:p w:rsidR="003C5B97" w:rsidRPr="0093691E" w:rsidP="003C5B97">
      <w:pPr>
        <w:pStyle w:val="legp2paratext1"/>
        <w:numPr>
          <w:ilvl w:val="0"/>
          <w:numId w:val="2"/>
        </w:numPr>
        <w:spacing w:after="0" w:line="240" w:lineRule="auto"/>
        <w:jc w:val="left"/>
        <w:rPr>
          <w:rFonts w:asciiTheme="minorHAnsi" w:hAnsiTheme="minorHAnsi" w:cs="Arial"/>
          <w:sz w:val="18"/>
          <w:szCs w:val="18"/>
          <w:lang w:val="en"/>
        </w:rPr>
      </w:pPr>
      <w:r w:rsidRPr="0093691E">
        <w:rPr>
          <w:rFonts w:asciiTheme="minorHAnsi" w:hAnsiTheme="minorHAnsi" w:cs="Arial"/>
          <w:color w:val="auto"/>
          <w:sz w:val="24"/>
          <w:szCs w:val="24"/>
          <w:lang w:val="en"/>
        </w:rPr>
        <w:t>Certain functions set out in the statement are not specific to the Pension Fund but are the wider responsibility of the County Council as an employing authority and are included within the statement for completeness.</w:t>
      </w:r>
    </w:p>
    <w:p w:rsidR="003C5B97" w:rsidRPr="003C5B97" w:rsidP="003C5B97">
      <w:pPr>
        <w:pStyle w:val="legp2paratext1"/>
        <w:spacing w:after="0" w:line="240" w:lineRule="auto"/>
        <w:ind w:left="360" w:firstLine="0"/>
        <w:jc w:val="left"/>
        <w:rPr>
          <w:rFonts w:ascii="Arial" w:hAnsi="Arial" w:cs="Arial"/>
          <w:sz w:val="18"/>
          <w:szCs w:val="18"/>
          <w:lang w:val="en"/>
        </w:rPr>
      </w:pPr>
    </w:p>
    <w:p w:rsidR="003C5B97" w:rsidRPr="00BE6B7C" w:rsidP="003C5B97">
      <w:pPr>
        <w:pStyle w:val="legp2paratext1"/>
        <w:spacing w:after="0" w:line="240" w:lineRule="auto"/>
        <w:ind w:left="360" w:firstLine="0"/>
        <w:jc w:val="left"/>
        <w:rPr>
          <w:rFonts w:ascii="Arial" w:hAnsi="Arial" w:cs="Arial"/>
          <w:sz w:val="18"/>
          <w:szCs w:val="18"/>
          <w:lang w:val="en"/>
        </w:rPr>
      </w:pPr>
      <w:r w:rsidRPr="00BE6B7C">
        <w:rPr>
          <w:rFonts w:ascii="Arial" w:hAnsi="Arial" w:cs="Arial"/>
          <w:sz w:val="18"/>
          <w:szCs w:val="18"/>
          <w:lang w:val="en"/>
        </w:rPr>
        <w:t xml:space="preserve">. </w:t>
      </w:r>
    </w:p>
    <w:p w:rsidR="003C5B97" w:rsidRPr="00BE6B7C" w:rsidP="003C5B97">
      <w:pPr>
        <w:tabs>
          <w:tab w:val="left" w:pos="567"/>
        </w:tabs>
        <w:spacing w:after="0"/>
        <w:rPr>
          <w:rFonts w:cs="Arial"/>
          <w:b/>
          <w:sz w:val="28"/>
          <w:szCs w:val="28"/>
        </w:rPr>
      </w:pPr>
      <w:r w:rsidRPr="00BE6B7C">
        <w:rPr>
          <w:rFonts w:cs="Arial"/>
          <w:b/>
          <w:sz w:val="28"/>
          <w:szCs w:val="28"/>
        </w:rPr>
        <w:t>Governance of the Lancashire County Pension Fund</w:t>
      </w:r>
    </w:p>
    <w:p w:rsidR="003C5B97" w:rsidRPr="00BE6B7C" w:rsidP="003C5B97">
      <w:pPr>
        <w:spacing w:after="0"/>
        <w:rPr>
          <w:rFonts w:cs="Arial"/>
        </w:rPr>
      </w:pPr>
    </w:p>
    <w:p w:rsidR="003C5B97" w:rsidRPr="00BE6B7C" w:rsidP="003C5B97">
      <w:pPr>
        <w:numPr>
          <w:ilvl w:val="0"/>
          <w:numId w:val="2"/>
        </w:numPr>
        <w:tabs>
          <w:tab w:val="left" w:pos="567"/>
        </w:tabs>
        <w:autoSpaceDE w:val="0"/>
        <w:autoSpaceDN w:val="0"/>
        <w:adjustRightInd w:val="0"/>
        <w:spacing w:after="0"/>
        <w:ind w:left="567" w:hanging="567"/>
        <w:jc w:val="both"/>
        <w:rPr>
          <w:rFonts w:cs="Arial"/>
        </w:rPr>
      </w:pPr>
      <w:r w:rsidRPr="00BE6B7C">
        <w:rPr>
          <w:rFonts w:cs="Arial"/>
        </w:rPr>
        <w:t xml:space="preserve">Under the cabinet structure in local government, management of the pension fund is a non-executive function and this is reflected in the council's constitution. The Pension Fund Committee reports directly to Full Council. The </w:t>
      </w:r>
      <w:r>
        <w:rPr>
          <w:rFonts w:cs="Arial"/>
        </w:rPr>
        <w:t xml:space="preserve">Head of </w:t>
      </w:r>
      <w:r w:rsidRPr="00BE6B7C">
        <w:rPr>
          <w:rFonts w:cs="Arial"/>
        </w:rPr>
        <w:t>Fund is designated as the officer responsible for the management of the Pension Fund.</w:t>
      </w:r>
    </w:p>
    <w:p w:rsidR="003C5B97" w:rsidP="003C5B97"/>
    <w:p w:rsidR="003C5B97" w:rsidP="003C5B97"/>
    <w:p w:rsidR="003C5B97" w:rsidP="003C5B97"/>
    <w:p w:rsidR="00284142" w:rsidP="00284142"/>
    <w:p w:rsidR="00284142" w:rsidRPr="00212B25" w:rsidP="00284142">
      <w:pPr>
        <w:rPr>
          <w:rFonts w:asciiTheme="majorHAnsi" w:hAnsiTheme="majorHAnsi"/>
          <w:b/>
          <w:sz w:val="44"/>
          <w:szCs w:val="44"/>
        </w:rPr>
      </w:pPr>
      <w:r w:rsidRPr="00212B25">
        <w:rPr>
          <w:rFonts w:asciiTheme="majorHAnsi" w:hAnsiTheme="majorHAnsi"/>
          <w:b/>
          <w:sz w:val="44"/>
          <w:szCs w:val="44"/>
        </w:rPr>
        <w:t>The Pension Fund Committee</w:t>
      </w:r>
    </w:p>
    <w:p w:rsidR="00284142" w:rsidRPr="00212B25" w:rsidP="00284142">
      <w:pPr>
        <w:rPr>
          <w:rFonts w:asciiTheme="majorHAnsi" w:hAnsiTheme="majorHAnsi"/>
          <w:b/>
          <w:sz w:val="44"/>
          <w:szCs w:val="44"/>
        </w:rPr>
      </w:pPr>
      <w:r w:rsidRPr="00212B25">
        <w:rPr>
          <w:rFonts w:asciiTheme="majorHAnsi" w:hAnsiTheme="majorHAnsi"/>
          <w:b/>
          <w:sz w:val="44"/>
          <w:szCs w:val="44"/>
        </w:rPr>
        <w:t>(Non-executive committee)</w:t>
      </w:r>
    </w:p>
    <w:p w:rsidR="00284142" w:rsidP="00284142"/>
    <w:p w:rsidR="00284142" w:rsidP="00284142"/>
    <w:p w:rsidR="00284142" w:rsidRPr="00284142" w:rsidP="00284142">
      <w:pPr>
        <w:rPr>
          <w:rFonts w:ascii="Arial" w:hAnsi="Arial" w:cs="Arial"/>
        </w:rPr>
      </w:pPr>
      <w:r w:rsidRPr="00284142">
        <w:rPr>
          <w:rFonts w:ascii="Arial" w:hAnsi="Arial" w:cs="Arial"/>
        </w:rPr>
        <w:t>See Link:</w:t>
      </w:r>
    </w:p>
    <w:p w:rsidR="00284142" w:rsidRPr="00284142" w:rsidP="00284142">
      <w:pPr>
        <w:rPr>
          <w:rFonts w:ascii="Arial" w:hAnsi="Arial" w:cs="Arial"/>
        </w:rPr>
      </w:pPr>
    </w:p>
    <w:p w:rsidR="00284142" w:rsidP="00284142">
      <w:pPr>
        <w:rPr>
          <w:rFonts w:ascii="Arial" w:hAnsi="Arial" w:cs="Arial"/>
        </w:rPr>
      </w:pPr>
      <w:r w:rsidRPr="00284142">
        <w:rPr>
          <w:rFonts w:ascii="Arial" w:hAnsi="Arial" w:cs="Arial"/>
        </w:rPr>
        <w:t>https://council.lancashire.gov.uk/documents/s174966/Part%202%20-%20Article%207%20Other%20Committees%20of%20the%20Council%20-%20Oct%202020.pdf</w:t>
      </w:r>
    </w:p>
    <w:p w:rsidR="00910BEB" w:rsidRPr="00284142" w:rsidP="00284142">
      <w:pPr>
        <w:rPr>
          <w:rFonts w:ascii="Arial" w:hAnsi="Arial" w:cs="Arial"/>
        </w:rPr>
      </w:pPr>
    </w:p>
    <w:p w:rsidR="00284142" w:rsidRPr="00284142" w:rsidP="00284142">
      <w:pPr>
        <w:rPr>
          <w:sz w:val="28"/>
          <w:szCs w:val="28"/>
        </w:rPr>
      </w:pPr>
    </w:p>
    <w:p w:rsidR="00284142" w:rsidRPr="00284142" w:rsidP="00284142">
      <w:pPr>
        <w:rPr>
          <w:sz w:val="28"/>
          <w:szCs w:val="28"/>
        </w:rPr>
      </w:pPr>
    </w:p>
    <w:p w:rsidR="00284142" w:rsidRPr="00212B25" w:rsidP="00284142">
      <w:pPr>
        <w:rPr>
          <w:rFonts w:asciiTheme="majorHAnsi" w:hAnsiTheme="majorHAnsi"/>
          <w:b/>
          <w:sz w:val="44"/>
          <w:szCs w:val="44"/>
        </w:rPr>
      </w:pPr>
      <w:r w:rsidRPr="00212B25">
        <w:rPr>
          <w:rFonts w:asciiTheme="majorHAnsi" w:hAnsiTheme="majorHAnsi"/>
          <w:b/>
          <w:sz w:val="44"/>
          <w:szCs w:val="44"/>
        </w:rPr>
        <w:t>Pension Fund Committee – Scheme of Delegation Arrangements</w:t>
      </w:r>
    </w:p>
    <w:p w:rsidR="00284142" w:rsidRPr="00284142" w:rsidP="00284142">
      <w:pPr>
        <w:rPr>
          <w:sz w:val="28"/>
          <w:szCs w:val="28"/>
        </w:rPr>
      </w:pPr>
    </w:p>
    <w:p w:rsidR="00284142" w:rsidRPr="00284142" w:rsidP="00284142">
      <w:pPr>
        <w:rPr>
          <w:sz w:val="28"/>
          <w:szCs w:val="28"/>
        </w:rPr>
      </w:pPr>
    </w:p>
    <w:p w:rsidR="00284142" w:rsidRPr="0093691E" w:rsidP="00284142">
      <w:pPr>
        <w:rPr>
          <w:rFonts w:cs="Arial"/>
        </w:rPr>
      </w:pPr>
      <w:r w:rsidRPr="0093691E">
        <w:rPr>
          <w:rFonts w:cs="Arial"/>
        </w:rPr>
        <w:t>All of the following:</w:t>
      </w:r>
    </w:p>
    <w:p w:rsidR="00284142" w:rsidRPr="0093691E" w:rsidP="00284142">
      <w:pPr>
        <w:rPr>
          <w:rFonts w:cs="Arial"/>
        </w:rPr>
      </w:pPr>
    </w:p>
    <w:p w:rsidR="00284142" w:rsidRPr="0093691E" w:rsidP="00284142">
      <w:pPr>
        <w:rPr>
          <w:rFonts w:cs="Arial"/>
        </w:rPr>
      </w:pPr>
      <w:r w:rsidRPr="0093691E">
        <w:rPr>
          <w:rFonts w:cs="Arial"/>
        </w:rPr>
        <w:t>1.</w:t>
      </w:r>
      <w:r w:rsidRPr="0093691E">
        <w:rPr>
          <w:rFonts w:cs="Arial"/>
        </w:rPr>
        <w:tab/>
        <w:t>Matters reserved to Full Council;</w:t>
      </w:r>
    </w:p>
    <w:p w:rsidR="00284142" w:rsidRPr="0093691E" w:rsidP="00284142">
      <w:pPr>
        <w:rPr>
          <w:rFonts w:cs="Arial"/>
        </w:rPr>
      </w:pPr>
      <w:r w:rsidRPr="0093691E">
        <w:rPr>
          <w:rFonts w:cs="Arial"/>
        </w:rPr>
        <w:t>2.</w:t>
      </w:r>
      <w:r w:rsidRPr="0093691E">
        <w:rPr>
          <w:rFonts w:cs="Arial"/>
        </w:rPr>
        <w:tab/>
        <w:t>Matters reserved to the Employment Committee;</w:t>
      </w:r>
    </w:p>
    <w:p w:rsidR="00284142" w:rsidRPr="0093691E" w:rsidP="00284142">
      <w:pPr>
        <w:rPr>
          <w:rFonts w:cs="Arial"/>
        </w:rPr>
      </w:pPr>
      <w:r w:rsidRPr="0093691E">
        <w:rPr>
          <w:rFonts w:cs="Arial"/>
        </w:rPr>
        <w:t>3.</w:t>
      </w:r>
      <w:r w:rsidRPr="0093691E">
        <w:rPr>
          <w:rFonts w:cs="Arial"/>
        </w:rPr>
        <w:tab/>
        <w:t>Matters reserved to Officers;</w:t>
      </w:r>
    </w:p>
    <w:p w:rsidR="00284142" w:rsidRPr="0093691E" w:rsidP="00284142">
      <w:pPr>
        <w:rPr>
          <w:rFonts w:cs="Arial"/>
        </w:rPr>
      </w:pPr>
    </w:p>
    <w:p w:rsidR="00284142" w:rsidRPr="0093691E" w:rsidP="00284142">
      <w:pPr>
        <w:rPr>
          <w:rFonts w:cs="Arial"/>
        </w:rPr>
      </w:pPr>
      <w:r w:rsidRPr="0093691E">
        <w:rPr>
          <w:rFonts w:cs="Arial"/>
        </w:rPr>
        <w:t>Can be found by clicking the following link:</w:t>
      </w:r>
    </w:p>
    <w:p w:rsidR="00284142" w:rsidRPr="0093691E" w:rsidP="00284142">
      <w:pPr>
        <w:rPr>
          <w:rFonts w:cs="Arial"/>
        </w:rPr>
      </w:pPr>
    </w:p>
    <w:p w:rsidR="00284142" w:rsidRPr="0093691E" w:rsidP="00284142">
      <w:pPr>
        <w:rPr>
          <w:rFonts w:cs="Arial"/>
        </w:rPr>
      </w:pPr>
      <w:r w:rsidRPr="0093691E">
        <w:rPr>
          <w:rFonts w:cs="Arial"/>
        </w:rPr>
        <w:t>https://council.lancashire.gov.uk/documents/s174966/Part%202%20-%20Article%207%20Other%20Committees%20of%20the%20Council%20-%20Oct%202020.pdf</w:t>
      </w:r>
    </w:p>
    <w:p w:rsidR="00284142" w:rsidRPr="00284142" w:rsidP="00284142">
      <w:pPr>
        <w:rPr>
          <w:rFonts w:ascii="Arial" w:hAnsi="Arial" w:cs="Arial"/>
          <w:sz w:val="28"/>
          <w:szCs w:val="28"/>
        </w:rPr>
      </w:pPr>
    </w:p>
    <w:p w:rsidR="00284142" w:rsidRPr="00284142" w:rsidP="00284142">
      <w:pPr>
        <w:rPr>
          <w:sz w:val="28"/>
          <w:szCs w:val="28"/>
        </w:rPr>
      </w:pPr>
    </w:p>
    <w:p w:rsidR="00284142" w:rsidRPr="00212B25" w:rsidP="00284142">
      <w:pPr>
        <w:rPr>
          <w:rFonts w:asciiTheme="majorHAnsi" w:hAnsiTheme="majorHAnsi"/>
          <w:b/>
          <w:sz w:val="44"/>
          <w:szCs w:val="44"/>
        </w:rPr>
      </w:pPr>
      <w:r w:rsidRPr="00212B25">
        <w:rPr>
          <w:rFonts w:asciiTheme="majorHAnsi" w:hAnsiTheme="majorHAnsi"/>
          <w:b/>
          <w:sz w:val="44"/>
          <w:szCs w:val="44"/>
        </w:rPr>
        <w:t>Investment Panel</w:t>
      </w:r>
    </w:p>
    <w:p w:rsidR="00284142" w:rsidRPr="0093691E" w:rsidP="00284142">
      <w:pPr>
        <w:rPr>
          <w:rFonts w:cs="Arial"/>
        </w:rPr>
      </w:pPr>
      <w:r w:rsidRPr="0093691E">
        <w:rPr>
          <w:rFonts w:cs="Arial"/>
        </w:rPr>
        <w:t>See Link:</w:t>
      </w:r>
    </w:p>
    <w:p w:rsidR="00284142" w:rsidRPr="0093691E" w:rsidP="00284142">
      <w:pPr>
        <w:rPr>
          <w:rFonts w:cs="Arial"/>
        </w:rPr>
      </w:pPr>
      <w:r w:rsidRPr="0093691E">
        <w:rPr>
          <w:rFonts w:cs="Arial"/>
        </w:rPr>
        <w:t>https://council.lancashire.gov.uk/documents/s174966/Part%202%20-%20Article%207%20Other%20Committees%20of%20the%20Council%20-%20Oct%202020.pdf</w:t>
      </w:r>
    </w:p>
    <w:p w:rsidR="00284142" w:rsidRPr="0093691E" w:rsidP="00284142">
      <w:pPr>
        <w:rPr>
          <w:rFonts w:cs="Arial"/>
        </w:rPr>
      </w:pPr>
    </w:p>
    <w:p w:rsidR="00284142" w:rsidRPr="0093691E" w:rsidP="00284142">
      <w:pPr>
        <w:rPr>
          <w:rFonts w:cs="Arial"/>
        </w:rPr>
      </w:pPr>
      <w:r w:rsidRPr="0093691E">
        <w:rPr>
          <w:rFonts w:cs="Arial"/>
        </w:rPr>
        <w:t xml:space="preserve">Note – Investment </w:t>
      </w:r>
      <w:r w:rsidR="00910BEB">
        <w:rPr>
          <w:rFonts w:cs="Arial"/>
        </w:rPr>
        <w:t xml:space="preserve">Panel </w:t>
      </w:r>
      <w:r w:rsidRPr="0093691E">
        <w:rPr>
          <w:rFonts w:cs="Arial"/>
        </w:rPr>
        <w:t xml:space="preserve"> information can be found after the Pension Fund Committee section.</w:t>
      </w:r>
    </w:p>
    <w:p w:rsidR="00284142" w:rsidRPr="00284142" w:rsidP="00284142">
      <w:pPr>
        <w:rPr>
          <w:sz w:val="28"/>
          <w:szCs w:val="28"/>
        </w:rPr>
      </w:pPr>
    </w:p>
    <w:p w:rsidR="00284142" w:rsidRPr="00284142" w:rsidP="00284142">
      <w:pPr>
        <w:rPr>
          <w:sz w:val="28"/>
          <w:szCs w:val="28"/>
        </w:rPr>
      </w:pPr>
    </w:p>
    <w:p w:rsidR="00284142" w:rsidRPr="00212B25" w:rsidP="00284142">
      <w:pPr>
        <w:rPr>
          <w:rFonts w:asciiTheme="majorHAnsi" w:hAnsiTheme="majorHAnsi"/>
          <w:b/>
          <w:sz w:val="44"/>
          <w:szCs w:val="44"/>
        </w:rPr>
      </w:pPr>
      <w:r w:rsidRPr="00212B25">
        <w:rPr>
          <w:rFonts w:asciiTheme="majorHAnsi" w:hAnsiTheme="majorHAnsi"/>
          <w:b/>
          <w:sz w:val="44"/>
          <w:szCs w:val="44"/>
        </w:rPr>
        <w:t>Pension Board of the Lancashire County Pension Fund</w:t>
      </w:r>
    </w:p>
    <w:p w:rsidR="00284142" w:rsidRPr="0093691E" w:rsidP="00284142">
      <w:pPr>
        <w:rPr>
          <w:rFonts w:cs="Arial"/>
        </w:rPr>
      </w:pPr>
      <w:r w:rsidRPr="0093691E">
        <w:rPr>
          <w:rFonts w:cs="Arial"/>
        </w:rPr>
        <w:t>See Link:</w:t>
      </w:r>
    </w:p>
    <w:p w:rsidR="00284142" w:rsidRPr="0093691E" w:rsidP="00284142">
      <w:pPr>
        <w:rPr>
          <w:rFonts w:cs="Arial"/>
        </w:rPr>
      </w:pPr>
      <w:r w:rsidRPr="0093691E">
        <w:rPr>
          <w:rFonts w:cs="Arial"/>
        </w:rPr>
        <w:t>https://council.lancashire.gov.uk/documents/s174966/Part%202%20-%20Article%207%20Other%20Committees%20of%20the%20Council%20-%20Oct%202020.pdf</w:t>
      </w:r>
    </w:p>
    <w:p w:rsidR="00284142" w:rsidRPr="00284142" w:rsidP="00284142">
      <w:pPr>
        <w:rPr>
          <w:rFonts w:ascii="Arial" w:hAnsi="Arial" w:cs="Arial"/>
        </w:rPr>
      </w:pPr>
    </w:p>
    <w:p w:rsidR="003C5B97" w:rsidRPr="00284142">
      <w:pPr>
        <w:rPr>
          <w:rFonts w:ascii="Arial" w:hAnsi="Arial" w:cs="Arial"/>
        </w:rPr>
      </w:pPr>
    </w:p>
    <w:p w:rsidR="003C5B97">
      <w:r>
        <w:br w:type="page"/>
      </w:r>
    </w:p>
    <w:p w:rsidR="003C5B97"/>
    <w:p w:rsidR="00F1777A"/>
    <w:p w:rsidR="00284142" w:rsidP="00284142">
      <w:pPr>
        <w:pStyle w:val="SubHeading-Orange"/>
        <w:rPr>
          <w:rFonts w:ascii="Georgia" w:hAnsi="Georgia"/>
          <w:b/>
          <w:bCs/>
          <w:color w:val="004C45"/>
        </w:rPr>
      </w:pPr>
    </w:p>
    <w:p w:rsidR="00284142" w:rsidP="00284142">
      <w:pPr>
        <w:pStyle w:val="SubHeading-Orange"/>
      </w:pPr>
      <w:r w:rsidRPr="00284142">
        <w:rPr>
          <w:rFonts w:ascii="Georgia" w:hAnsi="Georgia"/>
          <w:b/>
          <w:bCs/>
          <w:color w:val="004C45"/>
          <w:sz w:val="56"/>
          <w:szCs w:val="56"/>
        </w:rPr>
        <w:t>Compliance with Good Practice in Engagement and</w:t>
      </w:r>
      <w:r>
        <w:rPr>
          <w:rFonts w:ascii="Georgia" w:hAnsi="Georgia"/>
          <w:b/>
          <w:bCs/>
          <w:color w:val="004C45"/>
          <w:sz w:val="56"/>
          <w:szCs w:val="56"/>
        </w:rPr>
        <w:t xml:space="preserve"> Representation</w:t>
      </w:r>
    </w:p>
    <w:p w:rsidR="00284142" w:rsidP="00284142">
      <w:pPr>
        <w:pStyle w:val="SubHeading-Orange"/>
      </w:pPr>
    </w:p>
    <w:p w:rsidR="00284142" w:rsidRPr="0093691E" w:rsidP="00284142">
      <w:pPr>
        <w:rPr>
          <w:rFonts w:cs="Arial"/>
        </w:rPr>
      </w:pPr>
      <w:r w:rsidRPr="0093691E">
        <w:rPr>
          <w:rFonts w:cs="Arial"/>
        </w:rPr>
        <w:t>The Myners’ first principle states that decisions should only be taken by persons or organisations with the skills, information and resources necessary to take them effectively. Where trustees elect to take investment decisions, they must have sufficient expertise and appropriate training to be able to evaluate critically any advice they take.</w:t>
      </w:r>
    </w:p>
    <w:p w:rsidR="00284142" w:rsidRPr="0093691E" w:rsidP="00284142">
      <w:pPr>
        <w:rPr>
          <w:rFonts w:cs="Arial"/>
        </w:rPr>
      </w:pPr>
    </w:p>
    <w:p w:rsidR="00284142" w:rsidRPr="0093691E" w:rsidP="00284142">
      <w:pPr>
        <w:rPr>
          <w:rFonts w:cs="Arial"/>
        </w:rPr>
      </w:pPr>
      <w:r>
        <w:rPr>
          <w:rFonts w:cs="Arial"/>
        </w:rPr>
        <w:t>A number of t</w:t>
      </w:r>
      <w:r w:rsidRPr="0093691E" w:rsidR="00754D8C">
        <w:rPr>
          <w:rFonts w:cs="Arial"/>
        </w:rPr>
        <w:t xml:space="preserve">raining sessions </w:t>
      </w:r>
      <w:r>
        <w:rPr>
          <w:rFonts w:cs="Arial"/>
        </w:rPr>
        <w:t>are</w:t>
      </w:r>
      <w:r w:rsidRPr="0093691E" w:rsidR="00754D8C">
        <w:rPr>
          <w:rFonts w:cs="Arial"/>
        </w:rPr>
        <w:t xml:space="preserve"> held for </w:t>
      </w:r>
      <w:r>
        <w:rPr>
          <w:rFonts w:cs="Arial"/>
        </w:rPr>
        <w:t xml:space="preserve">members of the </w:t>
      </w:r>
      <w:r w:rsidRPr="0093691E" w:rsidR="00754D8C">
        <w:rPr>
          <w:rFonts w:cs="Arial"/>
        </w:rPr>
        <w:t xml:space="preserve"> Pension Fund Committee</w:t>
      </w:r>
      <w:r>
        <w:rPr>
          <w:rFonts w:cs="Arial"/>
        </w:rPr>
        <w:t xml:space="preserve"> each year </w:t>
      </w:r>
      <w:r w:rsidRPr="0093691E" w:rsidR="00754D8C">
        <w:rPr>
          <w:rFonts w:cs="Arial"/>
        </w:rPr>
        <w:t xml:space="preserve">, </w:t>
      </w:r>
      <w:r>
        <w:rPr>
          <w:rFonts w:cs="Arial"/>
        </w:rPr>
        <w:t xml:space="preserve"> covering </w:t>
      </w:r>
      <w:r w:rsidRPr="0093691E" w:rsidR="00754D8C">
        <w:rPr>
          <w:rFonts w:cs="Arial"/>
        </w:rPr>
        <w:t xml:space="preserve">all aspects of funding, investments, Scheme management and administration and are facilitated by an appropriate Officer, Investment Manager or Fund Actuary. In addition </w:t>
      </w:r>
      <w:r>
        <w:rPr>
          <w:rFonts w:cs="Arial"/>
        </w:rPr>
        <w:t xml:space="preserve">Committee </w:t>
      </w:r>
      <w:r w:rsidRPr="0093691E" w:rsidR="00754D8C">
        <w:rPr>
          <w:rFonts w:cs="Arial"/>
        </w:rPr>
        <w:t xml:space="preserve">members are encouraged to attend appropriate external courses and conferences and report back to the Committee </w:t>
      </w:r>
      <w:r>
        <w:rPr>
          <w:rFonts w:cs="Arial"/>
        </w:rPr>
        <w:t xml:space="preserve">on </w:t>
      </w:r>
      <w:r w:rsidRPr="0093691E" w:rsidR="00754D8C">
        <w:rPr>
          <w:rFonts w:cs="Arial"/>
        </w:rPr>
        <w:t>their learning from these events.</w:t>
      </w:r>
    </w:p>
    <w:p w:rsidR="00284142" w:rsidRPr="0093691E" w:rsidP="00284142">
      <w:pPr>
        <w:rPr>
          <w:rFonts w:cs="Arial"/>
        </w:rPr>
      </w:pPr>
    </w:p>
    <w:p w:rsidR="00284142" w:rsidRPr="0093691E" w:rsidP="00284142">
      <w:pPr>
        <w:rPr>
          <w:rFonts w:cs="Arial"/>
        </w:rPr>
      </w:pPr>
      <w:r w:rsidRPr="0093691E">
        <w:rPr>
          <w:rFonts w:cs="Arial"/>
        </w:rPr>
        <w:t>Under section 102 of the Local Government Act 1972, it is for the appointing council to decide upon the number of members of a committee and their terms of office. They may include committee members who are not members of the appointing council and such members may be given voting rights by virtue of section 13 of the Local Government and Housing Act 1989.</w:t>
      </w:r>
    </w:p>
    <w:p w:rsidR="00284142" w:rsidRPr="0093691E" w:rsidP="00284142">
      <w:pPr>
        <w:rPr>
          <w:rFonts w:cs="Arial"/>
        </w:rPr>
      </w:pPr>
    </w:p>
    <w:p w:rsidR="00284142" w:rsidRPr="0093691E" w:rsidP="00284142">
      <w:pPr>
        <w:rPr>
          <w:rFonts w:cs="Arial"/>
        </w:rPr>
      </w:pPr>
      <w:r w:rsidRPr="0093691E">
        <w:rPr>
          <w:rFonts w:cs="Arial"/>
        </w:rPr>
        <w:t>On this basis, it is open to pension committees to include representatives from district councils, scheme members and other lay representatives, with or without voting rights, provided that they are eligible to be committee members (eligibility rules are set out in section 15 of the Local Government and Housing Act 1989). Membership of the Lancashire Pension Fund Committee is set out on page 2 of this statement DCLG is committed to ensure that all LGPS committees operate consistently at best practice standards. Therefore, in addition to the regulatory requirement to produce this Governance Policy Statement, the LGPS regulations 1997 were further amended on 30 June 2007 to require administering authorities to report the extent of compliance to a set of best practice principles to be published by DCLG, and where an authority has chosen not to comply, to state the reasons why. The Fund's statement is set out at Appendix I.</w:t>
      </w:r>
    </w:p>
    <w:p w:rsidR="00284142" w:rsidRPr="0093691E" w:rsidP="00284142">
      <w:pPr>
        <w:rPr>
          <w:rFonts w:cs="Arial"/>
        </w:rPr>
      </w:pPr>
    </w:p>
    <w:p w:rsidR="00284142" w:rsidRPr="0093691E" w:rsidP="00284142">
      <w:pPr>
        <w:rPr>
          <w:rFonts w:cs="Arial"/>
        </w:rPr>
      </w:pPr>
      <w:r w:rsidRPr="0093691E">
        <w:rPr>
          <w:rFonts w:cs="Arial"/>
        </w:rPr>
        <w:t>Lancashire County Council is committed to the widest inclusion of all stakeholders in respect of consultation and communication outside of the formal governance arrangements. The arrangements include;</w:t>
      </w:r>
    </w:p>
    <w:p w:rsidR="00284142" w:rsidRPr="0093691E" w:rsidP="00284142">
      <w:pPr>
        <w:rPr>
          <w:rFonts w:cs="Arial"/>
        </w:rPr>
      </w:pPr>
    </w:p>
    <w:p w:rsidR="00284142" w:rsidRPr="0093691E" w:rsidP="00284142">
      <w:pPr>
        <w:rPr>
          <w:rFonts w:cs="Arial"/>
        </w:rPr>
      </w:pPr>
      <w:r w:rsidRPr="0093691E">
        <w:rPr>
          <w:rFonts w:cs="Arial"/>
        </w:rPr>
        <w:t>With Employing Authorities</w:t>
      </w:r>
    </w:p>
    <w:p w:rsidR="00284142" w:rsidRPr="0093691E" w:rsidP="00284142">
      <w:pPr>
        <w:rPr>
          <w:rFonts w:cs="Arial"/>
        </w:rPr>
      </w:pPr>
    </w:p>
    <w:p w:rsidR="00284142" w:rsidRPr="0093691E" w:rsidP="00284142">
      <w:pPr>
        <w:rPr>
          <w:rFonts w:cs="Arial"/>
        </w:rPr>
      </w:pPr>
      <w:r w:rsidRPr="0093691E">
        <w:rPr>
          <w:rFonts w:cs="Arial"/>
        </w:rPr>
        <w:t>The ratio of contributors from the various employing authorities in the Lancashire</w:t>
      </w:r>
    </w:p>
    <w:p w:rsidR="00284142" w:rsidRPr="0093691E" w:rsidP="00284142">
      <w:pPr>
        <w:rPr>
          <w:rFonts w:cs="Arial"/>
        </w:rPr>
      </w:pPr>
      <w:r w:rsidRPr="0093691E">
        <w:rPr>
          <w:rFonts w:cs="Arial"/>
        </w:rPr>
        <w:t>County Pension Fund may be analysed as follows</w:t>
      </w:r>
    </w:p>
    <w:p w:rsidR="00284142" w:rsidRPr="0093691E" w:rsidP="00284142">
      <w:pPr>
        <w:rPr>
          <w:rFonts w:cs="Arial"/>
        </w:rPr>
      </w:pPr>
      <w:r w:rsidRPr="0093691E">
        <w:rPr>
          <w:rFonts w:cs="Arial"/>
        </w:rPr>
        <w:t>Scheduled bodies 86%</w:t>
      </w:r>
    </w:p>
    <w:p w:rsidR="00284142" w:rsidRPr="0093691E" w:rsidP="00284142">
      <w:pPr>
        <w:rPr>
          <w:rFonts w:cs="Arial"/>
        </w:rPr>
      </w:pPr>
      <w:r w:rsidRPr="0093691E">
        <w:rPr>
          <w:rFonts w:cs="Arial"/>
        </w:rPr>
        <w:t>Admitted Bodies    14%</w:t>
      </w:r>
    </w:p>
    <w:p w:rsidR="00284142" w:rsidRPr="0093691E" w:rsidP="00284142">
      <w:pPr>
        <w:rPr>
          <w:rFonts w:cs="Arial"/>
        </w:rPr>
      </w:pPr>
    </w:p>
    <w:p w:rsidR="00284142" w:rsidRPr="0093691E" w:rsidP="00284142">
      <w:pPr>
        <w:rPr>
          <w:rFonts w:cs="Arial"/>
        </w:rPr>
      </w:pPr>
      <w:r w:rsidRPr="0093691E">
        <w:rPr>
          <w:rFonts w:cs="Arial"/>
        </w:rPr>
        <w:t>Lancashire County Council hosts an annual Employer Forum targeted at the Chief Officers of all employing authorities. At this forum Chief Officers are briefed on current funding, fund performance and actuarial matters including the latest valuation. Any other topical pension fund matters are also raised at this forum. In December of actuarial valuation years, a forum is held between the Fund Actuary and the Fund Employers to discuss the outcome of the actuarial valuation and the reasons for proposed contribution changes and how they will be applied.</w:t>
      </w:r>
    </w:p>
    <w:p w:rsidR="00284142" w:rsidRPr="0093691E" w:rsidP="00284142">
      <w:pPr>
        <w:rPr>
          <w:rFonts w:cs="Arial"/>
        </w:rPr>
      </w:pPr>
    </w:p>
    <w:p w:rsidR="00284142" w:rsidRPr="0093691E" w:rsidP="00284142">
      <w:pPr>
        <w:rPr>
          <w:rFonts w:cs="Arial"/>
        </w:rPr>
      </w:pPr>
      <w:r w:rsidRPr="0093691E">
        <w:rPr>
          <w:rFonts w:cs="Arial"/>
        </w:rPr>
        <w:t>All employing authorities are kept abreast of events, such as proposed changes in the regulations and their implications, and they are encouraged to get in touch if they have questions.</w:t>
      </w:r>
    </w:p>
    <w:p w:rsidR="00284142" w:rsidRPr="0093691E" w:rsidP="00284142">
      <w:pPr>
        <w:rPr>
          <w:rFonts w:cs="Arial"/>
        </w:rPr>
      </w:pPr>
    </w:p>
    <w:p w:rsidR="00284142" w:rsidRPr="0093691E" w:rsidP="00284142">
      <w:pPr>
        <w:rPr>
          <w:rFonts w:cs="Arial"/>
        </w:rPr>
      </w:pPr>
      <w:r w:rsidRPr="0093691E">
        <w:rPr>
          <w:rFonts w:cs="Arial"/>
        </w:rPr>
        <w:t>In addition to the briefings outlined above, Lancashire County Council holds an annual Practitioners Conference. The opportunity is taken at these meetings to brief attendees on the investment side of the scheme as well as practical administration issues. Communication is covered in detail in the Fund's Communication Strategy Statement. Lancashire County Council also provides an employer training service to ensure that Fund employers, particularly payroll and HR staff are aware and conversant with their obligations as employing authorities and have a sound understanding of LGPS regulation and administration.</w:t>
      </w:r>
    </w:p>
    <w:p w:rsidR="00284142" w:rsidRPr="0093691E" w:rsidP="00284142">
      <w:pPr>
        <w:rPr>
          <w:rFonts w:cs="Arial"/>
        </w:rPr>
      </w:pPr>
    </w:p>
    <w:p w:rsidR="00284142" w:rsidRPr="0093691E" w:rsidP="00284142">
      <w:pPr>
        <w:rPr>
          <w:rFonts w:cs="Arial"/>
        </w:rPr>
      </w:pPr>
      <w:r w:rsidRPr="0093691E">
        <w:rPr>
          <w:rFonts w:cs="Arial"/>
        </w:rPr>
        <w:t>With Employees</w:t>
      </w:r>
    </w:p>
    <w:p w:rsidR="00284142" w:rsidRPr="0093691E" w:rsidP="00284142">
      <w:pPr>
        <w:rPr>
          <w:rFonts w:cs="Arial"/>
        </w:rPr>
      </w:pPr>
    </w:p>
    <w:p w:rsidR="00284142" w:rsidRPr="0093691E" w:rsidP="00284142">
      <w:pPr>
        <w:rPr>
          <w:rFonts w:cs="Arial"/>
        </w:rPr>
      </w:pPr>
      <w:r w:rsidRPr="0093691E">
        <w:rPr>
          <w:rFonts w:cs="Arial"/>
        </w:rPr>
        <w:t>Lancashire County Council provides all members of the scheme with an annual Pensions Newsletter, which includes a summary of the annual report and financial summary of the scheme. Lancashire County Council’s intranet and internet web site includes the following fund documents;</w:t>
      </w:r>
    </w:p>
    <w:p w:rsidR="00284142" w:rsidRPr="0093691E" w:rsidP="00284142">
      <w:pPr>
        <w:rPr>
          <w:rFonts w:cs="Arial"/>
        </w:rPr>
      </w:pPr>
    </w:p>
    <w:p w:rsidR="00284142" w:rsidRPr="0093691E" w:rsidP="00284142">
      <w:pPr>
        <w:rPr>
          <w:rFonts w:cs="Arial"/>
        </w:rPr>
      </w:pPr>
      <w:r w:rsidRPr="0093691E">
        <w:rPr>
          <w:rFonts w:cs="Arial"/>
        </w:rPr>
        <w:t>• Full annual report</w:t>
      </w:r>
    </w:p>
    <w:p w:rsidR="00284142" w:rsidRPr="0093691E" w:rsidP="00284142">
      <w:pPr>
        <w:rPr>
          <w:rFonts w:cs="Arial"/>
        </w:rPr>
      </w:pPr>
      <w:r w:rsidRPr="0093691E">
        <w:rPr>
          <w:rFonts w:cs="Arial"/>
        </w:rPr>
        <w:t>• Statement of Investment Principles</w:t>
      </w:r>
    </w:p>
    <w:p w:rsidR="00284142" w:rsidRPr="0093691E" w:rsidP="00284142">
      <w:pPr>
        <w:rPr>
          <w:rFonts w:cs="Arial"/>
        </w:rPr>
      </w:pPr>
      <w:r w:rsidRPr="0093691E">
        <w:rPr>
          <w:rFonts w:cs="Arial"/>
        </w:rPr>
        <w:t>• Funding Strategy Statement</w:t>
      </w:r>
    </w:p>
    <w:p w:rsidR="00284142" w:rsidRPr="0093691E" w:rsidP="00284142">
      <w:pPr>
        <w:rPr>
          <w:rFonts w:cs="Arial"/>
        </w:rPr>
      </w:pPr>
    </w:p>
    <w:p w:rsidR="00284142" w:rsidRPr="0093691E" w:rsidP="00284142">
      <w:pPr>
        <w:rPr>
          <w:rFonts w:cs="Arial"/>
        </w:rPr>
      </w:pPr>
      <w:r w:rsidRPr="0093691E">
        <w:rPr>
          <w:rFonts w:cs="Arial"/>
        </w:rPr>
        <w:t>In addition various documents are available on Lancashire County Council’s intranet and internet site including, the LGPS Guide, latest news updates, and other information relating to the Scheme and Fund. Lancashire County Council maintains a working relationship with the unions. The County Council’s Joint Negotiating and Consultative Forum may discuss pension issues at its meetings, and invites Pensions and/or HR representatives to discuss current issues. Trades Unions are consultees of the Government in their own right in the same way as employers and LGPS Administering Authorities. In addition to the above the LGPS Administration Regulations 2008 includes regulation 65, which sets out the provision for Administering Authorities to prepare a written statement of ‘its Pensions Administration Strategy’.</w:t>
      </w:r>
    </w:p>
    <w:p w:rsidR="003627B6" w:rsidP="00284142"/>
    <w:p w:rsidR="00284142">
      <w:r>
        <w:br w:type="page"/>
      </w:r>
    </w:p>
    <w:p w:rsidR="00284142" w:rsidP="00284142"/>
    <w:p w:rsidR="0093691E" w:rsidP="0093691E">
      <w:pPr>
        <w:pStyle w:val="SubHeading-Orange"/>
      </w:pPr>
      <w:r>
        <w:rPr>
          <w:rFonts w:ascii="Georgia" w:hAnsi="Georgia"/>
          <w:b/>
          <w:bCs/>
          <w:color w:val="004C45"/>
          <w:sz w:val="56"/>
          <w:szCs w:val="56"/>
        </w:rPr>
        <w:t>Appendix 'A'</w:t>
      </w:r>
    </w:p>
    <w:p w:rsidR="0093691E" w:rsidP="0093691E">
      <w:pPr>
        <w:pStyle w:val="SubHeading-Orange"/>
      </w:pPr>
    </w:p>
    <w:p w:rsidR="0093691E" w:rsidP="0093691E">
      <w:pPr>
        <w:rPr>
          <w:rFonts w:ascii="Arial" w:hAnsi="Arial" w:cs="Arial"/>
        </w:rPr>
      </w:pPr>
      <w:r w:rsidRPr="0093691E">
        <w:rPr>
          <w:rFonts w:ascii="Arial" w:hAnsi="Arial" w:cs="Arial"/>
        </w:rPr>
        <w:t>Appendix 'A' - Lancashire County Pension Fund Governance Compliance Statement</w:t>
      </w:r>
    </w:p>
    <w:p w:rsidR="0093691E" w:rsidP="009369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5812"/>
        <w:gridCol w:w="2239"/>
      </w:tblGrid>
      <w:tr w:rsidTr="00BA407E">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405" w:type="dxa"/>
            <w:shd w:val="clear" w:color="auto" w:fill="auto"/>
          </w:tcPr>
          <w:p w:rsidR="0093691E" w:rsidRPr="0093691E" w:rsidP="0093691E">
            <w:pPr>
              <w:rPr>
                <w:b/>
              </w:rPr>
            </w:pPr>
            <w:r w:rsidRPr="0093691E">
              <w:rPr>
                <w:b/>
              </w:rPr>
              <w:t>Principle</w:t>
            </w:r>
          </w:p>
        </w:tc>
        <w:tc>
          <w:tcPr>
            <w:tcW w:w="5812" w:type="dxa"/>
            <w:shd w:val="clear" w:color="auto" w:fill="auto"/>
          </w:tcPr>
          <w:p w:rsidR="0093691E" w:rsidRPr="0093691E" w:rsidP="0093691E">
            <w:pPr>
              <w:rPr>
                <w:b/>
              </w:rPr>
            </w:pPr>
          </w:p>
        </w:tc>
        <w:tc>
          <w:tcPr>
            <w:tcW w:w="2239" w:type="dxa"/>
            <w:shd w:val="clear" w:color="auto" w:fill="auto"/>
          </w:tcPr>
          <w:p w:rsidR="0093691E" w:rsidRPr="0093691E" w:rsidP="0093691E">
            <w:pPr>
              <w:rPr>
                <w:b/>
              </w:rPr>
            </w:pPr>
            <w:r w:rsidRPr="0093691E">
              <w:rPr>
                <w:b/>
              </w:rPr>
              <w:t>Compliance</w:t>
            </w:r>
          </w:p>
        </w:tc>
      </w:tr>
      <w:tr w:rsidTr="00BA407E">
        <w:tblPrEx>
          <w:tblW w:w="0" w:type="auto"/>
          <w:tblLook w:val="04A0"/>
        </w:tblPrEx>
        <w:tc>
          <w:tcPr>
            <w:tcW w:w="2405" w:type="dxa"/>
            <w:shd w:val="clear" w:color="auto" w:fill="auto"/>
          </w:tcPr>
          <w:p w:rsidR="0093691E" w:rsidRPr="0093691E" w:rsidP="0093691E">
            <w:r w:rsidRPr="0093691E">
              <w:t xml:space="preserve">A. Structure </w:t>
            </w:r>
          </w:p>
          <w:p w:rsidR="0093691E" w:rsidRPr="0093691E" w:rsidP="0093691E"/>
        </w:tc>
        <w:tc>
          <w:tcPr>
            <w:tcW w:w="5812" w:type="dxa"/>
            <w:shd w:val="clear" w:color="auto" w:fill="auto"/>
          </w:tcPr>
          <w:p w:rsidR="0093691E" w:rsidRPr="0093691E" w:rsidP="0093691E">
            <w:r w:rsidRPr="0093691E">
              <w:t>(a) the Management of the administration of benefits and strategic management of fund assets clearly rests with the main committee established by the appointing Council</w:t>
            </w:r>
          </w:p>
          <w:p w:rsidR="0093691E" w:rsidRPr="0093691E" w:rsidP="0093691E">
            <w:r w:rsidRPr="0093691E">
              <w:t>(b) that representatives of participating LGPS employers, admitted bodies and scheme members (including pensioner and deferred members) are members of either the main or secondary committee established to underpin the work of the main committee (1)</w:t>
            </w:r>
          </w:p>
          <w:p w:rsidR="0093691E" w:rsidRPr="0093691E" w:rsidP="0093691E">
            <w:r w:rsidRPr="0093691E">
              <w:t>(c) that where a secondary committee or panel has been established, the structure ensures effective communication across both levels.</w:t>
            </w:r>
          </w:p>
          <w:p w:rsidR="0093691E" w:rsidRPr="0093691E" w:rsidP="0093691E">
            <w:r w:rsidRPr="0093691E">
              <w:t>(d) that where a secondary committee or panel has been established, at least one seat on the main committee is allocated for a member from the secondary committee or panel.</w:t>
            </w:r>
          </w:p>
        </w:tc>
        <w:tc>
          <w:tcPr>
            <w:tcW w:w="2239" w:type="dxa"/>
            <w:shd w:val="clear" w:color="auto" w:fill="auto"/>
          </w:tcPr>
          <w:p w:rsidR="0093691E" w:rsidRPr="0093691E" w:rsidP="0093691E"/>
          <w:p w:rsidR="0093691E" w:rsidRPr="0093691E" w:rsidP="0093691E">
            <w:r w:rsidRPr="0093691E">
              <w:t>√</w:t>
            </w:r>
          </w:p>
          <w:p w:rsidR="0093691E" w:rsidRPr="0093691E" w:rsidP="0093691E"/>
          <w:p w:rsidR="0093691E" w:rsidRPr="0093691E" w:rsidP="0093691E"/>
          <w:p w:rsidR="0093691E" w:rsidRPr="0093691E" w:rsidP="0093691E"/>
          <w:p w:rsidR="0093691E" w:rsidRPr="0093691E" w:rsidP="0093691E">
            <w:r w:rsidRPr="0093691E">
              <w:t>Partial (see Note 1)</w:t>
            </w:r>
          </w:p>
          <w:p w:rsidR="0093691E" w:rsidRPr="0093691E" w:rsidP="0093691E"/>
          <w:p w:rsidR="0093691E" w:rsidRPr="0093691E" w:rsidP="0093691E">
            <w:r w:rsidRPr="0093691E">
              <w:t>√</w:t>
            </w:r>
          </w:p>
          <w:p w:rsidR="0093691E" w:rsidRPr="0093691E" w:rsidP="0093691E"/>
          <w:p w:rsidR="00754D8C" w:rsidP="0093691E"/>
          <w:p w:rsidR="0093691E" w:rsidRPr="0093691E" w:rsidP="0093691E">
            <w:r w:rsidRPr="0093691E">
              <w:t>√</w:t>
            </w:r>
          </w:p>
          <w:p w:rsidR="0093691E" w:rsidRPr="0093691E" w:rsidP="0093691E"/>
        </w:tc>
      </w:tr>
      <w:tr w:rsidTr="00BA407E">
        <w:tblPrEx>
          <w:tblW w:w="0" w:type="auto"/>
          <w:tblLook w:val="04A0"/>
        </w:tblPrEx>
        <w:tc>
          <w:tcPr>
            <w:tcW w:w="2405" w:type="dxa"/>
            <w:shd w:val="clear" w:color="auto" w:fill="auto"/>
          </w:tcPr>
          <w:p w:rsidR="0093691E" w:rsidRPr="0093691E" w:rsidP="0093691E">
            <w:r w:rsidRPr="0093691E">
              <w:t xml:space="preserve">B. Representation </w:t>
            </w:r>
          </w:p>
          <w:p w:rsidR="0093691E" w:rsidRPr="0093691E" w:rsidP="0093691E"/>
        </w:tc>
        <w:tc>
          <w:tcPr>
            <w:tcW w:w="5812" w:type="dxa"/>
            <w:shd w:val="clear" w:color="auto" w:fill="auto"/>
          </w:tcPr>
          <w:p w:rsidR="0093691E" w:rsidRPr="0093691E" w:rsidP="0093691E">
            <w:r w:rsidRPr="0093691E">
              <w:t>(a) that all key stakeholders are afforded the opportunity to be represented within the main or secondary committee structure. (1)</w:t>
            </w:r>
          </w:p>
          <w:p w:rsidR="0093691E" w:rsidRPr="0093691E" w:rsidP="0093691E"/>
          <w:p w:rsidR="0093691E" w:rsidRPr="0093691E" w:rsidP="0093691E">
            <w:r w:rsidRPr="0093691E">
              <w:t>These include:</w:t>
            </w:r>
          </w:p>
          <w:p w:rsidR="0093691E" w:rsidRPr="0093691E" w:rsidP="0093691E">
            <w:r w:rsidRPr="0093691E">
              <w:t>(i) employing authorities (including non-scheme employers, e.g. admitted bodies)</w:t>
            </w:r>
          </w:p>
          <w:p w:rsidR="0093691E" w:rsidRPr="0093691E" w:rsidP="0093691E">
            <w:r w:rsidRPr="0093691E">
              <w:t>(ii) scheme members (including deferred and pensioner scheme members)</w:t>
            </w:r>
          </w:p>
          <w:p w:rsidR="0093691E" w:rsidRPr="0093691E" w:rsidP="0093691E">
            <w:r w:rsidRPr="0093691E">
              <w:t>(iii) independent professional observers (2)</w:t>
            </w:r>
          </w:p>
          <w:p w:rsidR="0093691E" w:rsidRPr="0093691E" w:rsidP="0093691E">
            <w:r w:rsidRPr="0093691E">
              <w:t>(iv) expert advisers (on an ad hoc basis)</w:t>
            </w:r>
          </w:p>
        </w:tc>
        <w:tc>
          <w:tcPr>
            <w:tcW w:w="2239" w:type="dxa"/>
            <w:shd w:val="clear" w:color="auto" w:fill="auto"/>
          </w:tcPr>
          <w:p w:rsidR="0093691E" w:rsidRPr="0093691E" w:rsidP="0093691E">
            <w:r w:rsidRPr="0093691E">
              <w:t>Partial (see Notes 1 and 2)</w:t>
            </w:r>
          </w:p>
          <w:p w:rsidR="0093691E" w:rsidRPr="0093691E" w:rsidP="0093691E"/>
          <w:p w:rsidR="0093691E" w:rsidRPr="0093691E" w:rsidP="0093691E"/>
          <w:p w:rsidR="0093691E" w:rsidRPr="0093691E" w:rsidP="0093691E"/>
          <w:p w:rsidR="0093691E" w:rsidRPr="0093691E" w:rsidP="0093691E"/>
          <w:p w:rsidR="0093691E" w:rsidRPr="0093691E" w:rsidP="0093691E"/>
          <w:p w:rsidR="0093691E" w:rsidRPr="0093691E" w:rsidP="0093691E"/>
          <w:p w:rsidR="0093691E" w:rsidRPr="0093691E" w:rsidP="0093691E"/>
          <w:p w:rsidR="0093691E" w:rsidRPr="0093691E" w:rsidP="0093691E"/>
          <w:p w:rsidR="0093691E" w:rsidRPr="0093691E" w:rsidP="0093691E"/>
        </w:tc>
      </w:tr>
      <w:tr w:rsidTr="00BA407E">
        <w:tblPrEx>
          <w:tblW w:w="0" w:type="auto"/>
          <w:tblLook w:val="04A0"/>
        </w:tblPrEx>
        <w:tc>
          <w:tcPr>
            <w:tcW w:w="2405" w:type="dxa"/>
            <w:shd w:val="clear" w:color="auto" w:fill="auto"/>
          </w:tcPr>
          <w:p w:rsidR="0093691E" w:rsidRPr="0093691E" w:rsidP="0093691E">
            <w:r w:rsidRPr="0093691E">
              <w:t>C. Selection and Role of Lay Members</w:t>
            </w:r>
          </w:p>
        </w:tc>
        <w:tc>
          <w:tcPr>
            <w:tcW w:w="5812" w:type="dxa"/>
            <w:shd w:val="clear" w:color="auto" w:fill="auto"/>
          </w:tcPr>
          <w:p w:rsidR="0093691E" w:rsidRPr="0093691E" w:rsidP="0093691E">
            <w:r w:rsidRPr="0093691E">
              <w:t>(a) that committee or panel members are made fully aware of the status, role and function they are required to perform on either a main or secondary committee. (It is the role of the administering authority to make places available for lay members and for the groups to nominate the representatives. The lay members are not there to represent their own local, political or private interest but owe a duty of care to their beneficiaries and are required to act in their best interests at all time.)</w:t>
            </w:r>
          </w:p>
        </w:tc>
        <w:tc>
          <w:tcPr>
            <w:tcW w:w="2239" w:type="dxa"/>
            <w:shd w:val="clear" w:color="auto" w:fill="auto"/>
          </w:tcPr>
          <w:p w:rsidR="0093691E" w:rsidRPr="0093691E" w:rsidP="0093691E"/>
          <w:p w:rsidR="0093691E" w:rsidRPr="0093691E" w:rsidP="0093691E">
            <w:r w:rsidRPr="0093691E">
              <w:t>√</w:t>
            </w:r>
          </w:p>
        </w:tc>
      </w:tr>
      <w:tr w:rsidTr="00BA407E">
        <w:tblPrEx>
          <w:tblW w:w="0" w:type="auto"/>
          <w:tblLook w:val="04A0"/>
        </w:tblPrEx>
        <w:tc>
          <w:tcPr>
            <w:tcW w:w="2405" w:type="dxa"/>
            <w:shd w:val="clear" w:color="auto" w:fill="auto"/>
          </w:tcPr>
          <w:p w:rsidR="0093691E" w:rsidRPr="0093691E" w:rsidP="0093691E">
            <w:r w:rsidRPr="0093691E">
              <w:t xml:space="preserve">D. Voting </w:t>
            </w:r>
          </w:p>
          <w:p w:rsidR="0093691E" w:rsidRPr="0093691E" w:rsidP="0093691E"/>
        </w:tc>
        <w:tc>
          <w:tcPr>
            <w:tcW w:w="5812" w:type="dxa"/>
            <w:shd w:val="clear" w:color="auto" w:fill="auto"/>
          </w:tcPr>
          <w:p w:rsidR="0093691E" w:rsidRPr="0093691E" w:rsidP="0093691E">
            <w:r w:rsidRPr="0093691E">
              <w:t>(a) the policy of individual administering authorities on voting rights is clear and transparent, including the justification for not extending voting rights to each body or group represented on main LGPS committees.</w:t>
            </w:r>
          </w:p>
        </w:tc>
        <w:tc>
          <w:tcPr>
            <w:tcW w:w="2239" w:type="dxa"/>
            <w:shd w:val="clear" w:color="auto" w:fill="auto"/>
          </w:tcPr>
          <w:p w:rsidR="0093691E" w:rsidRPr="0093691E" w:rsidP="0093691E">
            <w:r w:rsidRPr="0093691E">
              <w:t>√</w:t>
            </w:r>
          </w:p>
        </w:tc>
      </w:tr>
      <w:tr w:rsidTr="00BA407E">
        <w:tblPrEx>
          <w:tblW w:w="0" w:type="auto"/>
          <w:tblLook w:val="04A0"/>
        </w:tblPrEx>
        <w:tc>
          <w:tcPr>
            <w:tcW w:w="2405" w:type="dxa"/>
            <w:shd w:val="clear" w:color="auto" w:fill="auto"/>
          </w:tcPr>
          <w:p w:rsidR="0093691E" w:rsidP="00A62F5D">
            <w:pPr>
              <w:spacing w:after="0"/>
              <w:rPr>
                <w:rFonts w:cs="Arial"/>
              </w:rPr>
            </w:pPr>
          </w:p>
          <w:p w:rsidR="0093691E" w:rsidP="00A62F5D">
            <w:pPr>
              <w:spacing w:after="0"/>
              <w:rPr>
                <w:rFonts w:cs="Arial"/>
              </w:rPr>
            </w:pPr>
            <w:r>
              <w:rPr>
                <w:rFonts w:cs="Arial"/>
              </w:rPr>
              <w:t>E. Training/Facility time/expenses</w:t>
            </w:r>
          </w:p>
          <w:p w:rsidR="0093691E" w:rsidP="00A62F5D">
            <w:pPr>
              <w:spacing w:after="0"/>
              <w:rPr>
                <w:rFonts w:cs="Arial"/>
              </w:rPr>
            </w:pPr>
          </w:p>
          <w:p w:rsidR="0093691E" w:rsidRPr="00BE6B7C" w:rsidP="00A62F5D">
            <w:pPr>
              <w:spacing w:after="0"/>
              <w:rPr>
                <w:rFonts w:cs="Arial"/>
              </w:rPr>
            </w:pPr>
          </w:p>
        </w:tc>
        <w:tc>
          <w:tcPr>
            <w:tcW w:w="5812" w:type="dxa"/>
            <w:shd w:val="clear" w:color="auto" w:fill="auto"/>
          </w:tcPr>
          <w:p w:rsidR="0093691E" w:rsidRPr="00BA407E" w:rsidP="0093691E">
            <w:pPr>
              <w:pStyle w:val="ListParagraph"/>
              <w:numPr>
                <w:ilvl w:val="0"/>
                <w:numId w:val="5"/>
              </w:numPr>
              <w:spacing w:after="0"/>
              <w:jc w:val="left"/>
              <w:rPr>
                <w:rFonts w:asciiTheme="minorHAnsi" w:hAnsiTheme="minorHAnsi" w:cs="Arial"/>
              </w:rPr>
            </w:pPr>
            <w:r w:rsidRPr="00BA407E">
              <w:rPr>
                <w:rFonts w:asciiTheme="minorHAnsi" w:hAnsiTheme="minorHAnsi" w:cs="Arial"/>
              </w:rPr>
              <w:t>That in relation to the way in which statutory and related decisions are taken by the administering authority, there is a clear policy on training, facility time and reimbursement of expenses in respect of members involved in the decision-making process.</w:t>
            </w:r>
          </w:p>
          <w:p w:rsidR="0093691E" w:rsidRPr="00B51DB1" w:rsidP="0093691E">
            <w:pPr>
              <w:pStyle w:val="ListParagraph"/>
              <w:numPr>
                <w:ilvl w:val="0"/>
                <w:numId w:val="5"/>
              </w:numPr>
              <w:spacing w:after="0"/>
              <w:jc w:val="left"/>
              <w:rPr>
                <w:rFonts w:cs="Arial"/>
              </w:rPr>
            </w:pPr>
            <w:r w:rsidRPr="00BA407E">
              <w:rPr>
                <w:rFonts w:asciiTheme="minorHAnsi" w:hAnsiTheme="minorHAnsi" w:cs="Arial"/>
              </w:rPr>
              <w:t>That where such a policy exists, it applies equally to all members of committees, sub-committees, advisory panels or any other form of secondary forum.</w:t>
            </w:r>
          </w:p>
        </w:tc>
        <w:tc>
          <w:tcPr>
            <w:tcW w:w="2239" w:type="dxa"/>
            <w:shd w:val="clear" w:color="auto" w:fill="auto"/>
          </w:tcPr>
          <w:p w:rsidR="0093691E" w:rsidP="00A62F5D">
            <w:pPr>
              <w:spacing w:after="0"/>
              <w:jc w:val="center"/>
              <w:rPr>
                <w:rFonts w:cs="Arial"/>
              </w:rPr>
            </w:pPr>
            <w:r w:rsidRPr="00BE6B7C">
              <w:rPr>
                <w:rFonts w:cs="Arial"/>
              </w:rPr>
              <w:t>√</w:t>
            </w:r>
          </w:p>
          <w:p w:rsidR="0093691E" w:rsidP="00A62F5D">
            <w:pPr>
              <w:spacing w:after="0"/>
              <w:jc w:val="center"/>
              <w:rPr>
                <w:rFonts w:cs="Arial"/>
              </w:rPr>
            </w:pPr>
          </w:p>
          <w:p w:rsidR="0093691E" w:rsidP="00A62F5D">
            <w:pPr>
              <w:spacing w:after="0"/>
              <w:jc w:val="center"/>
              <w:rPr>
                <w:rFonts w:cs="Arial"/>
              </w:rPr>
            </w:pPr>
          </w:p>
          <w:p w:rsidR="0093691E" w:rsidP="00A62F5D">
            <w:pPr>
              <w:spacing w:after="0"/>
              <w:jc w:val="center"/>
              <w:rPr>
                <w:rFonts w:cs="Arial"/>
              </w:rPr>
            </w:pPr>
          </w:p>
          <w:p w:rsidR="0093691E" w:rsidP="00A62F5D">
            <w:pPr>
              <w:spacing w:after="0"/>
              <w:jc w:val="center"/>
              <w:rPr>
                <w:rFonts w:cs="Arial"/>
              </w:rPr>
            </w:pPr>
          </w:p>
          <w:p w:rsidR="0093691E" w:rsidP="00A62F5D">
            <w:pPr>
              <w:spacing w:after="0"/>
              <w:jc w:val="center"/>
              <w:rPr>
                <w:rFonts w:cs="Arial"/>
              </w:rPr>
            </w:pPr>
            <w:r w:rsidRPr="00BE6B7C">
              <w:rPr>
                <w:rFonts w:cs="Arial"/>
              </w:rPr>
              <w:t>√</w:t>
            </w:r>
          </w:p>
          <w:p w:rsidR="0093691E" w:rsidRPr="00BE6B7C" w:rsidP="00A62F5D">
            <w:pPr>
              <w:spacing w:after="0"/>
              <w:jc w:val="center"/>
              <w:rPr>
                <w:rFonts w:cs="Arial"/>
              </w:rPr>
            </w:pPr>
          </w:p>
        </w:tc>
      </w:tr>
      <w:tr w:rsidTr="00BA407E">
        <w:tblPrEx>
          <w:tblW w:w="0" w:type="auto"/>
          <w:tblLook w:val="04A0"/>
        </w:tblPrEx>
        <w:tc>
          <w:tcPr>
            <w:tcW w:w="2405" w:type="dxa"/>
            <w:shd w:val="clear" w:color="auto" w:fill="auto"/>
          </w:tcPr>
          <w:p w:rsidR="0093691E" w:rsidRPr="00BE6B7C" w:rsidP="00A62F5D">
            <w:pPr>
              <w:spacing w:after="0"/>
              <w:rPr>
                <w:rFonts w:cs="Arial"/>
              </w:rPr>
            </w:pPr>
            <w:r w:rsidRPr="00BE6B7C">
              <w:rPr>
                <w:rFonts w:cs="Arial"/>
              </w:rPr>
              <w:t>F. Meetings - Frequency</w:t>
            </w:r>
          </w:p>
        </w:tc>
        <w:tc>
          <w:tcPr>
            <w:tcW w:w="5812" w:type="dxa"/>
            <w:shd w:val="clear" w:color="auto" w:fill="auto"/>
          </w:tcPr>
          <w:p w:rsidR="0093691E" w:rsidRPr="00BE6B7C" w:rsidP="00A62F5D">
            <w:pPr>
              <w:spacing w:after="0"/>
              <w:rPr>
                <w:rFonts w:cs="Arial"/>
              </w:rPr>
            </w:pPr>
            <w:r w:rsidRPr="00BE6B7C">
              <w:rPr>
                <w:rFonts w:cs="Arial"/>
              </w:rPr>
              <w:t>(a) that an administering authority’s main committee or committees meet at least quarterly.</w:t>
            </w:r>
          </w:p>
          <w:p w:rsidR="0093691E" w:rsidRPr="00BE6B7C" w:rsidP="00A62F5D">
            <w:pPr>
              <w:spacing w:after="0"/>
              <w:rPr>
                <w:rFonts w:cs="Arial"/>
              </w:rPr>
            </w:pPr>
            <w:r w:rsidRPr="00BE6B7C">
              <w:rPr>
                <w:rFonts w:cs="Arial"/>
              </w:rPr>
              <w:t>(b) that an administering authority’s secondary committee or panel meet at least twice a year and is synchronised with the dates when the main committee sits.</w:t>
            </w:r>
          </w:p>
          <w:p w:rsidR="0093691E" w:rsidRPr="00BE6B7C" w:rsidP="00A62F5D">
            <w:pPr>
              <w:spacing w:after="0"/>
              <w:rPr>
                <w:rFonts w:cs="Arial"/>
              </w:rPr>
            </w:pPr>
            <w:r w:rsidRPr="00BE6B7C">
              <w:rPr>
                <w:rFonts w:cs="Arial"/>
              </w:rPr>
              <w:t>(c) that administering authorities who do not include lay members in their formal governance arrangements, provide a forum outside of those arrangements by which the interests of key stakeholders can be represented.</w:t>
            </w:r>
          </w:p>
        </w:tc>
        <w:tc>
          <w:tcPr>
            <w:tcW w:w="2239" w:type="dxa"/>
            <w:shd w:val="clear" w:color="auto" w:fill="auto"/>
          </w:tcPr>
          <w:p w:rsidR="0093691E" w:rsidRPr="00F03A6A" w:rsidP="00A62F5D">
            <w:pPr>
              <w:spacing w:after="0"/>
              <w:jc w:val="center"/>
              <w:rPr>
                <w:rFonts w:cs="Arial"/>
              </w:rPr>
            </w:pPr>
            <w:r w:rsidRPr="00F03A6A">
              <w:rPr>
                <w:rFonts w:cs="Arial"/>
              </w:rPr>
              <w:t>√</w:t>
            </w:r>
          </w:p>
          <w:p w:rsidR="0093691E" w:rsidRPr="00F03A6A" w:rsidP="00A62F5D">
            <w:pPr>
              <w:spacing w:after="0"/>
              <w:jc w:val="center"/>
              <w:rPr>
                <w:rFonts w:cs="Arial"/>
              </w:rPr>
            </w:pPr>
          </w:p>
          <w:p w:rsidR="0093691E" w:rsidRPr="00F03A6A" w:rsidP="00A62F5D">
            <w:pPr>
              <w:spacing w:after="0"/>
              <w:jc w:val="center"/>
              <w:rPr>
                <w:rFonts w:cs="Arial"/>
              </w:rPr>
            </w:pPr>
            <w:r w:rsidRPr="00F03A6A">
              <w:rPr>
                <w:rFonts w:cs="Arial"/>
              </w:rPr>
              <w:t>√</w:t>
            </w:r>
          </w:p>
          <w:p w:rsidR="0093691E" w:rsidRPr="00F03A6A" w:rsidP="00A62F5D">
            <w:pPr>
              <w:spacing w:after="0"/>
              <w:jc w:val="center"/>
              <w:rPr>
                <w:rFonts w:cs="Arial"/>
              </w:rPr>
            </w:pPr>
          </w:p>
          <w:p w:rsidR="0093691E" w:rsidRPr="00F03A6A" w:rsidP="00A62F5D">
            <w:pPr>
              <w:spacing w:after="0"/>
              <w:jc w:val="center"/>
              <w:rPr>
                <w:rFonts w:cs="Arial"/>
              </w:rPr>
            </w:pPr>
          </w:p>
          <w:p w:rsidR="0093691E" w:rsidRPr="00F03A6A" w:rsidP="00A62F5D">
            <w:pPr>
              <w:spacing w:after="0"/>
              <w:jc w:val="center"/>
              <w:rPr>
                <w:rFonts w:cs="Arial"/>
              </w:rPr>
            </w:pPr>
          </w:p>
          <w:p w:rsidR="0093691E" w:rsidRPr="00F03A6A" w:rsidP="00A62F5D">
            <w:pPr>
              <w:spacing w:after="0"/>
              <w:jc w:val="center"/>
              <w:rPr>
                <w:rFonts w:cs="Arial"/>
              </w:rPr>
            </w:pPr>
            <w:r w:rsidRPr="00F03A6A">
              <w:rPr>
                <w:rFonts w:cs="Arial"/>
              </w:rPr>
              <w:t>√</w:t>
            </w:r>
          </w:p>
          <w:p w:rsidR="0093691E" w:rsidRPr="00F03A6A" w:rsidP="00A62F5D">
            <w:pPr>
              <w:spacing w:after="0"/>
              <w:jc w:val="center"/>
              <w:rPr>
                <w:rFonts w:cs="Arial"/>
              </w:rPr>
            </w:pPr>
          </w:p>
          <w:p w:rsidR="0093691E" w:rsidRPr="00F03A6A" w:rsidP="00A62F5D">
            <w:pPr>
              <w:spacing w:after="0"/>
              <w:jc w:val="center"/>
              <w:rPr>
                <w:rFonts w:cs="Arial"/>
              </w:rPr>
            </w:pPr>
          </w:p>
          <w:p w:rsidR="0093691E" w:rsidRPr="00BE6B7C" w:rsidP="00A62F5D">
            <w:pPr>
              <w:spacing w:after="0"/>
              <w:jc w:val="center"/>
              <w:rPr>
                <w:rFonts w:cs="Arial"/>
              </w:rPr>
            </w:pPr>
          </w:p>
        </w:tc>
      </w:tr>
      <w:tr w:rsidTr="00BA407E">
        <w:tblPrEx>
          <w:tblW w:w="0" w:type="auto"/>
          <w:tblLook w:val="04A0"/>
        </w:tblPrEx>
        <w:tc>
          <w:tcPr>
            <w:tcW w:w="2405" w:type="dxa"/>
            <w:shd w:val="clear" w:color="auto" w:fill="auto"/>
          </w:tcPr>
          <w:p w:rsidR="0093691E" w:rsidRPr="00BE6B7C" w:rsidP="00A62F5D">
            <w:pPr>
              <w:spacing w:after="0"/>
              <w:rPr>
                <w:rFonts w:cs="Arial"/>
              </w:rPr>
            </w:pPr>
            <w:r w:rsidRPr="00BE6B7C">
              <w:rPr>
                <w:rFonts w:cs="Arial"/>
              </w:rPr>
              <w:t xml:space="preserve">G. Access </w:t>
            </w:r>
          </w:p>
          <w:p w:rsidR="0093691E" w:rsidRPr="00BE6B7C" w:rsidP="00A62F5D">
            <w:pPr>
              <w:spacing w:after="0"/>
              <w:rPr>
                <w:rFonts w:cs="Arial"/>
              </w:rPr>
            </w:pPr>
          </w:p>
        </w:tc>
        <w:tc>
          <w:tcPr>
            <w:tcW w:w="5812" w:type="dxa"/>
            <w:shd w:val="clear" w:color="auto" w:fill="auto"/>
          </w:tcPr>
          <w:p w:rsidR="0093691E" w:rsidRPr="00BE6B7C" w:rsidP="00A62F5D">
            <w:pPr>
              <w:spacing w:after="0"/>
              <w:rPr>
                <w:rFonts w:cs="Arial"/>
              </w:rPr>
            </w:pPr>
            <w:r w:rsidRPr="00BE6B7C">
              <w:rPr>
                <w:rFonts w:cs="Arial"/>
              </w:rPr>
              <w:t>(a) that subject to any rules in the council’s constitution, all members of main and secondary committees or panels have equal access to committee papers, documents and advice that falls to be considered at meetings of the main committee.</w:t>
            </w:r>
          </w:p>
        </w:tc>
        <w:tc>
          <w:tcPr>
            <w:tcW w:w="2239" w:type="dxa"/>
            <w:shd w:val="clear" w:color="auto" w:fill="auto"/>
          </w:tcPr>
          <w:p w:rsidR="0093691E" w:rsidRPr="00BE6B7C" w:rsidP="00A62F5D">
            <w:pPr>
              <w:spacing w:after="0"/>
              <w:jc w:val="center"/>
              <w:rPr>
                <w:rFonts w:cs="Arial"/>
              </w:rPr>
            </w:pPr>
            <w:r w:rsidRPr="00BE6B7C">
              <w:rPr>
                <w:rFonts w:cs="Arial"/>
              </w:rPr>
              <w:t>√</w:t>
            </w:r>
          </w:p>
        </w:tc>
      </w:tr>
      <w:tr w:rsidTr="00BA407E">
        <w:tblPrEx>
          <w:tblW w:w="0" w:type="auto"/>
          <w:tblLook w:val="04A0"/>
        </w:tblPrEx>
        <w:tc>
          <w:tcPr>
            <w:tcW w:w="2405" w:type="dxa"/>
            <w:shd w:val="clear" w:color="auto" w:fill="auto"/>
          </w:tcPr>
          <w:p w:rsidR="0093691E" w:rsidRPr="00BE6B7C" w:rsidP="00A62F5D">
            <w:pPr>
              <w:spacing w:after="0"/>
              <w:rPr>
                <w:rFonts w:cs="Arial"/>
              </w:rPr>
            </w:pPr>
            <w:r w:rsidRPr="00BE6B7C">
              <w:rPr>
                <w:rFonts w:cs="Arial"/>
              </w:rPr>
              <w:t xml:space="preserve">H. Scope </w:t>
            </w:r>
          </w:p>
          <w:p w:rsidR="0093691E" w:rsidRPr="00BE6B7C" w:rsidP="00A62F5D">
            <w:pPr>
              <w:spacing w:after="0"/>
              <w:rPr>
                <w:rFonts w:cs="Arial"/>
              </w:rPr>
            </w:pPr>
          </w:p>
        </w:tc>
        <w:tc>
          <w:tcPr>
            <w:tcW w:w="5812" w:type="dxa"/>
            <w:shd w:val="clear" w:color="auto" w:fill="auto"/>
          </w:tcPr>
          <w:p w:rsidR="0093691E" w:rsidRPr="00BE6B7C" w:rsidP="00A62F5D">
            <w:pPr>
              <w:spacing w:after="0"/>
              <w:rPr>
                <w:rFonts w:cs="Arial"/>
              </w:rPr>
            </w:pPr>
            <w:r w:rsidRPr="00BE6B7C">
              <w:rPr>
                <w:rFonts w:cs="Arial"/>
              </w:rPr>
              <w:t>(a) that administering authorities have taken steps to bring wider scheme issues within the scope of their governance arrangements.</w:t>
            </w:r>
          </w:p>
        </w:tc>
        <w:tc>
          <w:tcPr>
            <w:tcW w:w="2239" w:type="dxa"/>
            <w:shd w:val="clear" w:color="auto" w:fill="auto"/>
          </w:tcPr>
          <w:p w:rsidR="0093691E" w:rsidRPr="00BE6B7C" w:rsidP="00A62F5D">
            <w:pPr>
              <w:spacing w:after="0"/>
              <w:jc w:val="center"/>
              <w:rPr>
                <w:rFonts w:cs="Arial"/>
              </w:rPr>
            </w:pPr>
            <w:r w:rsidRPr="00BE6B7C">
              <w:rPr>
                <w:rFonts w:cs="Arial"/>
              </w:rPr>
              <w:t>√</w:t>
            </w:r>
          </w:p>
        </w:tc>
      </w:tr>
      <w:tr w:rsidTr="00BA407E">
        <w:tblPrEx>
          <w:tblW w:w="0" w:type="auto"/>
          <w:tblLook w:val="04A0"/>
        </w:tblPrEx>
        <w:tc>
          <w:tcPr>
            <w:tcW w:w="2405" w:type="dxa"/>
            <w:shd w:val="clear" w:color="auto" w:fill="auto"/>
          </w:tcPr>
          <w:p w:rsidR="0093691E" w:rsidRPr="00BE6B7C" w:rsidP="00A62F5D">
            <w:pPr>
              <w:spacing w:after="0"/>
              <w:rPr>
                <w:rFonts w:cs="Arial"/>
              </w:rPr>
            </w:pPr>
            <w:r w:rsidRPr="00BE6B7C">
              <w:rPr>
                <w:rFonts w:cs="Arial"/>
              </w:rPr>
              <w:t xml:space="preserve">I. Publicity </w:t>
            </w:r>
          </w:p>
          <w:p w:rsidR="0093691E" w:rsidRPr="00BE6B7C" w:rsidP="00A62F5D">
            <w:pPr>
              <w:spacing w:after="0"/>
              <w:rPr>
                <w:rFonts w:cs="Arial"/>
              </w:rPr>
            </w:pPr>
          </w:p>
        </w:tc>
        <w:tc>
          <w:tcPr>
            <w:tcW w:w="5812" w:type="dxa"/>
            <w:shd w:val="clear" w:color="auto" w:fill="auto"/>
          </w:tcPr>
          <w:p w:rsidR="0093691E" w:rsidRPr="00BE6B7C" w:rsidP="00A62F5D">
            <w:pPr>
              <w:spacing w:after="0"/>
              <w:rPr>
                <w:rFonts w:cs="Arial"/>
              </w:rPr>
            </w:pPr>
            <w:r w:rsidRPr="00BE6B7C">
              <w:rPr>
                <w:rFonts w:cs="Arial"/>
              </w:rPr>
              <w:t>(a) that administering authorities have published details of their governance arrangements in such a way that stakeholders with an interest in the way in which the scheme is governed can express an interest in wanting to be part of those arrangements.</w:t>
            </w:r>
          </w:p>
        </w:tc>
        <w:tc>
          <w:tcPr>
            <w:tcW w:w="2239" w:type="dxa"/>
            <w:shd w:val="clear" w:color="auto" w:fill="auto"/>
          </w:tcPr>
          <w:p w:rsidR="0093691E" w:rsidRPr="00BE6B7C" w:rsidP="00A62F5D">
            <w:pPr>
              <w:spacing w:after="0"/>
              <w:jc w:val="center"/>
              <w:rPr>
                <w:rFonts w:cs="Arial"/>
              </w:rPr>
            </w:pPr>
            <w:r w:rsidRPr="00BE6B7C">
              <w:rPr>
                <w:rFonts w:cs="Arial"/>
              </w:rPr>
              <w:t>√</w:t>
            </w:r>
          </w:p>
        </w:tc>
      </w:tr>
      <w:tr w:rsidTr="00BA407E">
        <w:tblPrEx>
          <w:tblW w:w="0" w:type="auto"/>
          <w:tblLook w:val="04A0"/>
        </w:tblPrEx>
        <w:tc>
          <w:tcPr>
            <w:tcW w:w="2405" w:type="dxa"/>
            <w:shd w:val="clear" w:color="auto" w:fill="auto"/>
          </w:tcPr>
          <w:p w:rsidR="0093691E" w:rsidRPr="0093691E" w:rsidP="0093691E"/>
        </w:tc>
        <w:tc>
          <w:tcPr>
            <w:tcW w:w="5812" w:type="dxa"/>
            <w:shd w:val="clear" w:color="auto" w:fill="auto"/>
          </w:tcPr>
          <w:p w:rsidR="0093691E" w:rsidRPr="0093691E" w:rsidP="0093691E"/>
        </w:tc>
        <w:tc>
          <w:tcPr>
            <w:tcW w:w="2239" w:type="dxa"/>
            <w:shd w:val="clear" w:color="auto" w:fill="auto"/>
          </w:tcPr>
          <w:p w:rsidR="0093691E" w:rsidRPr="0093691E" w:rsidP="0093691E"/>
        </w:tc>
      </w:tr>
    </w:tbl>
    <w:p w:rsidR="0093691E" w:rsidP="0093691E"/>
    <w:p w:rsidR="0093691E" w:rsidP="0093691E">
      <w:r>
        <w:t>Notes - Reasons for partial compliance</w:t>
      </w:r>
    </w:p>
    <w:p w:rsidR="0093691E" w:rsidP="0093691E"/>
    <w:p w:rsidR="0093691E" w:rsidP="0093691E">
      <w:r>
        <w:t>1) Unitary Councils, District Councils and Further and Higher Education employers, are represented. Other admitted bodies only represent 9% of contributors to the Fund and are therefore not represented. However, all employers receive a full annual report and are alerted to important events. Although employee representatives, i.e. Trade Unions, do not formally represent deferred and pensioner scheme members, it is accepted that representation is available to deferred and pensioners members via this route where necessary and/or appropriate. In addition the interests of all scheme members and employers are specifically represented in the composition of the Local Pension Board.</w:t>
      </w:r>
    </w:p>
    <w:p w:rsidR="00754D8C" w:rsidP="0093691E"/>
    <w:p w:rsidR="0093691E" w:rsidP="0093691E">
      <w:r>
        <w:t>2) Guidance envisaged that an independent professional observer could be invited to participate in governance arrangements to enhance the experience, continuity, knowledge, impartiality and performance of committees or panels which would improve the public perception that high standards of governance are a reality and not just an aspiration. This role is currently performed by the Fund’s independent advisers and officers and it is not apparent what added value such an appointment would bring.</w:t>
      </w:r>
    </w:p>
    <w:p w:rsidR="0093691E" w:rsidP="0093691E"/>
    <w:sectPr w:rsidSect="003627B6">
      <w:headerReference w:type="even" r:id="rId7"/>
      <w:headerReference w:type="default" r:id="rId8"/>
      <w:footerReference w:type="even" r:id="rId9"/>
      <w:footerReference w:type="default" r:id="rId10"/>
      <w:headerReference w:type="first" r:id="rId11"/>
      <w:footerReference w:type="first" r:id="rId12"/>
      <w:pgSz w:w="11900" w:h="16840"/>
      <w:pgMar w:top="0" w:right="720" w:bottom="720" w:left="567" w:header="0" w:footer="168" w:gutter="0"/>
      <w:pgNumType w:start="1"/>
      <w:cols w:space="4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charset w:val="00"/>
    <w:family w:val="roman"/>
    <w:pitch w:val="variable"/>
    <w:sig w:usb0="60000287" w:usb1="00000001" w:usb2="00000000" w:usb3="00000000" w:csb0="0000019F" w:csb1="00000000"/>
  </w:font>
  <w:font w:name="Tiempos Headline Semibold">
    <w:altName w:val="Times New Roman"/>
    <w:panose1 w:val="00000000000000000000"/>
    <w:charset w:val="4D"/>
    <w:family w:val="roman"/>
    <w:notTrueType/>
    <w:pitch w:val="variable"/>
    <w:sig w:usb0="00000007" w:usb1="00000000" w:usb2="00000000" w:usb3="00000000" w:csb0="00000093" w:csb1="00000000"/>
  </w:font>
  <w:font w:name="MrEavesSanOTBook">
    <w:altName w:val="Malgun Gothic"/>
    <w:panose1 w:val="00000000000000000000"/>
    <w:charset w:val="4D"/>
    <w:family w:val="swiss"/>
    <w:notTrueType/>
    <w:pitch w:val="variable"/>
    <w:sig w:usb0="00000003" w:usb1="00000001" w:usb2="00000000" w:usb3="00000000" w:csb0="00000001" w:csb1="00000000"/>
  </w:font>
  <w:font w:name="MrEavesSanOT">
    <w:altName w:val="Malgun Gothic"/>
    <w:panose1 w:val="00000000000000000000"/>
    <w:charset w:val="4D"/>
    <w:family w:val="swiss"/>
    <w:notTrueType/>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E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55145524"/>
      <w:docPartObj>
        <w:docPartGallery w:val="Page Numbers (Bottom of Page)"/>
        <w:docPartUnique/>
      </w:docPartObj>
    </w:sdtPr>
    <w:sdtEndPr>
      <w:rPr>
        <w:noProof/>
      </w:rPr>
    </w:sdtEndPr>
    <w:sdtContent>
      <w:p w:rsidR="00B14964">
        <w:pPr>
          <w:pStyle w:val="Footer"/>
          <w:jc w:val="center"/>
        </w:pPr>
        <w:r>
          <w:fldChar w:fldCharType="begin"/>
        </w:r>
        <w:r>
          <w:instrText xml:space="preserve"> PAGE   \* MERGEFORMAT </w:instrText>
        </w:r>
        <w:r>
          <w:fldChar w:fldCharType="separate"/>
        </w:r>
        <w:r w:rsidR="00BA407E">
          <w:rPr>
            <w:noProof/>
          </w:rPr>
          <w:t>7</w:t>
        </w:r>
        <w:r>
          <w:rPr>
            <w:noProof/>
          </w:rPr>
          <w:fldChar w:fldCharType="end"/>
        </w:r>
      </w:p>
    </w:sdtContent>
  </w:sdt>
  <w:p w:rsidR="00B57E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E86">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E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62B0" w:rsidP="005F796F">
    <w:pPr>
      <w:pStyle w:val="Heade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-130810</wp:posOffset>
              </wp:positionH>
              <wp:positionV relativeFrom="paragraph">
                <wp:posOffset>466090</wp:posOffset>
              </wp:positionV>
              <wp:extent cx="723265" cy="605790"/>
              <wp:effectExtent l="0" t="0" r="0" b="0"/>
              <wp:wrapNone/>
              <wp:docPr id="45" name="Text Box 45"/>
              <wp:cNvGraphicFramePr/>
              <a:graphic xmlns:a="http://schemas.openxmlformats.org/drawingml/2006/main">
                <a:graphicData uri="http://schemas.microsoft.com/office/word/2010/wordprocessingShape">
                  <wps:wsp xmlns:wps="http://schemas.microsoft.com/office/word/2010/wordprocessingShape">
                    <wps:cNvSpPr txBox="1"/>
                    <wps:spPr>
                      <a:xfrm>
                        <a:off x="0" y="0"/>
                        <a:ext cx="723265" cy="605790"/>
                      </a:xfrm>
                      <a:prstGeom prst="rect">
                        <a:avLst/>
                      </a:prstGeom>
                      <a:noFill/>
                      <a:ln w="6350">
                        <a:noFill/>
                      </a:ln>
                    </wps:spPr>
                    <wps:txbx>
                      <w:txbxContent>
                        <w:p w:rsidR="00F662B0" w:rsidRPr="00AB1054" w:rsidP="00566D1A">
                          <w:pPr>
                            <w:pStyle w:val="BasicParagraph"/>
                            <w:suppressAutoHyphens/>
                            <w:spacing w:after="0"/>
                            <w:jc w:val="center"/>
                            <w:rPr>
                              <w:rFonts w:ascii="Tiempos Headline Semibold" w:hAnsi="Tiempos Headline Semibold" w:cs="Tiempos Headline Semibold"/>
                              <w:color w:val="FFFFFF" w:themeColor="background1"/>
                              <w:sz w:val="42"/>
                              <w:szCs w:val="42"/>
                              <w14:textOutline w14:w="9525">
                                <w14:noFill/>
                                <w14:round/>
                              </w14:textOutline>
                            </w:rPr>
                          </w:pPr>
                          <w:r w:rsidRPr="00AB1054">
                            <w:rPr>
                              <w:rFonts w:ascii="Tiempos Headline Semibold" w:hAnsi="Tiempos Headline Semibold" w:cs="Tiempos Headline Semibold"/>
                              <w:color w:val="FFFFFF" w:themeColor="background1"/>
                              <w:sz w:val="42"/>
                              <w:szCs w:val="42"/>
                              <w14:textOutline w14:w="9525">
                                <w14:noFill/>
                                <w14:round/>
                              </w14:textOutline>
                            </w:rPr>
                            <w:t>G</w:t>
                          </w:r>
                        </w:p>
                        <w:p w:rsidR="00F662B0" w:rsidRPr="00AB1054">
                          <w:pPr>
                            <w:rPr>
                              <w:color w:val="FFFFFF" w:themeColor="background1"/>
                              <w:vertAlign w:val="subscript"/>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2049" type="#_x0000_t202" style="width:56.95pt;height:47.7pt;margin-top:36.7pt;margin-left:-10.3pt;mso-height-percent:0;mso-height-relative:margin;mso-width-percent:0;mso-width-relative:margin;mso-wrap-distance-bottom:0;mso-wrap-distance-left:9pt;mso-wrap-distance-right:9pt;mso-wrap-distance-top:0;mso-wrap-style:square;position:absolute;visibility:visible;v-text-anchor:top;z-index:251659264" filled="f" stroked="f" strokeweight="0.5pt">
              <v:textbox>
                <w:txbxContent>
                  <w:p w:rsidR="00F662B0" w:rsidRPr="00AB1054" w:rsidP="00566D1A">
                    <w:pPr>
                      <w:pStyle w:val="BasicParagraph"/>
                      <w:suppressAutoHyphens/>
                      <w:spacing w:after="0"/>
                      <w:jc w:val="center"/>
                      <w:rPr>
                        <w:rFonts w:ascii="Tiempos Headline Semibold" w:hAnsi="Tiempos Headline Semibold" w:cs="Tiempos Headline Semibold"/>
                        <w:color w:val="FFFFFF" w:themeColor="background1"/>
                        <w:sz w:val="42"/>
                        <w:szCs w:val="42"/>
                        <w14:textOutline w14:w="9525">
                          <w14:noFill/>
                          <w14:round/>
                        </w14:textOutline>
                      </w:rPr>
                    </w:pPr>
                    <w:r w:rsidRPr="00AB1054">
                      <w:rPr>
                        <w:rFonts w:ascii="Tiempos Headline Semibold" w:hAnsi="Tiempos Headline Semibold" w:cs="Tiempos Headline Semibold"/>
                        <w:color w:val="FFFFFF" w:themeColor="background1"/>
                        <w:sz w:val="42"/>
                        <w:szCs w:val="42"/>
                        <w14:textOutline w14:w="9525">
                          <w14:noFill/>
                          <w14:round/>
                        </w14:textOutline>
                      </w:rPr>
                      <w:t>G</w:t>
                    </w:r>
                  </w:p>
                  <w:p w:rsidR="00F662B0" w:rsidRPr="00AB1054">
                    <w:pPr>
                      <w:rPr>
                        <w:color w:val="FFFFFF" w:themeColor="background1"/>
                        <w:vertAlign w:val="subscript"/>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E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5FF4AB4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47816"/>
    <w:multiLevelType w:val="hybridMultilevel"/>
    <w:tmpl w:val="9CB2D25A"/>
    <w:lvl w:ilvl="0">
      <w:start w:val="1"/>
      <w:numFmt w:val="lowerLetter"/>
      <w:lvlText w:val="(%1)"/>
      <w:lvlJc w:val="left"/>
      <w:pPr>
        <w:ind w:left="1131" w:hanging="564"/>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
    <w:nsid w:val="3D496285"/>
    <w:multiLevelType w:val="hybridMultilevel"/>
    <w:tmpl w:val="79D4152A"/>
    <w:lvl w:ilvl="0">
      <w:start w:val="1"/>
      <w:numFmt w:val="lowerRoman"/>
      <w:lvlText w:val="(%1)"/>
      <w:lvlJc w:val="left"/>
      <w:pPr>
        <w:ind w:left="1854" w:hanging="72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3">
    <w:nsid w:val="3F01520E"/>
    <w:multiLevelType w:val="hybridMultilevel"/>
    <w:tmpl w:val="E6E46D30"/>
    <w:lvl w:ilvl="0">
      <w:start w:val="1"/>
      <w:numFmt w:val="decimal"/>
      <w:lvlText w:val="%1."/>
      <w:lvlJc w:val="left"/>
      <w:pPr>
        <w:ind w:left="720" w:hanging="360"/>
      </w:pPr>
      <w:rPr>
        <w:rFonts w:hint="default"/>
        <w:color w:val="auto"/>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64991550"/>
    <w:multiLevelType w:val="hybridMultilevel"/>
    <w:tmpl w:val="C270B752"/>
    <w:lvl w:ilvl="0">
      <w:start w:val="1"/>
      <w:numFmt w:val="lowerLetter"/>
      <w:lvlText w:val="(%1)"/>
      <w:lvlJc w:val="left"/>
      <w:pPr>
        <w:ind w:left="360" w:hanging="360"/>
      </w:pPr>
      <w:rPr>
        <w:rFonts w:asciiTheme="minorHAnsi" w:hAnsiTheme="minorHAnsi"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1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D1A"/>
    <w:pPr>
      <w:tabs>
        <w:tab w:val="center" w:pos="4680"/>
        <w:tab w:val="right" w:pos="9360"/>
      </w:tabs>
    </w:pPr>
  </w:style>
  <w:style w:type="character" w:customStyle="1" w:styleId="HeaderChar">
    <w:name w:val="Header Char"/>
    <w:basedOn w:val="DefaultParagraphFont"/>
    <w:link w:val="Header"/>
    <w:uiPriority w:val="99"/>
    <w:rsid w:val="00566D1A"/>
  </w:style>
  <w:style w:type="paragraph" w:styleId="Footer">
    <w:name w:val="footer"/>
    <w:basedOn w:val="Normal"/>
    <w:link w:val="FooterChar"/>
    <w:uiPriority w:val="99"/>
    <w:unhideWhenUsed/>
    <w:rsid w:val="00566D1A"/>
    <w:pPr>
      <w:tabs>
        <w:tab w:val="center" w:pos="4680"/>
        <w:tab w:val="right" w:pos="9360"/>
      </w:tabs>
    </w:pPr>
  </w:style>
  <w:style w:type="character" w:customStyle="1" w:styleId="FooterChar">
    <w:name w:val="Footer Char"/>
    <w:basedOn w:val="DefaultParagraphFont"/>
    <w:link w:val="Footer"/>
    <w:uiPriority w:val="99"/>
    <w:rsid w:val="00566D1A"/>
  </w:style>
  <w:style w:type="paragraph" w:customStyle="1" w:styleId="BasicParagraph">
    <w:name w:val="[Basic Paragraph]"/>
    <w:basedOn w:val="Normal"/>
    <w:uiPriority w:val="99"/>
    <w:rsid w:val="00566D1A"/>
    <w:pPr>
      <w:autoSpaceDE w:val="0"/>
      <w:autoSpaceDN w:val="0"/>
      <w:adjustRightInd w:val="0"/>
      <w:spacing w:line="288" w:lineRule="auto"/>
      <w:textAlignment w:val="center"/>
    </w:pPr>
    <w:rPr>
      <w:rFonts w:ascii="Minion Pro" w:hAnsi="Minion Pro" w:cs="Minion Pro"/>
      <w:color w:val="000000"/>
    </w:rPr>
  </w:style>
  <w:style w:type="paragraph" w:customStyle="1" w:styleId="LCPFHeading">
    <w:name w:val="LCPF Heading"/>
    <w:basedOn w:val="Normal"/>
    <w:qFormat/>
    <w:rsid w:val="005F796F"/>
    <w:pPr>
      <w:autoSpaceDE w:val="0"/>
      <w:autoSpaceDN w:val="0"/>
      <w:adjustRightInd w:val="0"/>
      <w:spacing w:line="288" w:lineRule="auto"/>
      <w:textAlignment w:val="center"/>
    </w:pPr>
    <w:rPr>
      <w:rFonts w:ascii="Tiempos Headline Semibold" w:hAnsi="Tiempos Headline Semibold" w:cs="Tiempos Headline Semibold"/>
      <w:color w:val="09806F"/>
      <w:sz w:val="64"/>
      <w:szCs w:val="64"/>
    </w:rPr>
  </w:style>
  <w:style w:type="paragraph" w:customStyle="1" w:styleId="Style1">
    <w:name w:val="Style1"/>
    <w:basedOn w:val="Normal"/>
    <w:qFormat/>
    <w:rsid w:val="00AB1054"/>
    <w:pPr>
      <w:suppressAutoHyphens/>
      <w:autoSpaceDE w:val="0"/>
      <w:autoSpaceDN w:val="0"/>
      <w:adjustRightInd w:val="0"/>
      <w:spacing w:before="120" w:after="120" w:line="360" w:lineRule="auto"/>
      <w:textAlignment w:val="center"/>
    </w:pPr>
    <w:rPr>
      <w:rFonts w:ascii="MrEavesSanOTBook" w:hAnsi="MrEavesSanOTBook" w:cs="MrEavesSanOTBook"/>
      <w:color w:val="000000"/>
      <w:szCs w:val="21"/>
    </w:rPr>
  </w:style>
  <w:style w:type="character" w:styleId="PageNumber">
    <w:name w:val="page number"/>
    <w:basedOn w:val="DefaultParagraphFont"/>
    <w:uiPriority w:val="99"/>
    <w:semiHidden/>
    <w:unhideWhenUsed/>
    <w:rsid w:val="006076CE"/>
  </w:style>
  <w:style w:type="paragraph" w:customStyle="1" w:styleId="LCPFBodyCopy">
    <w:name w:val="LCPF Body Copy"/>
    <w:basedOn w:val="Normal"/>
    <w:qFormat/>
    <w:rsid w:val="006E5FD0"/>
    <w:pPr>
      <w:suppressAutoHyphens/>
      <w:autoSpaceDE w:val="0"/>
      <w:autoSpaceDN w:val="0"/>
      <w:adjustRightInd w:val="0"/>
      <w:spacing w:after="142"/>
      <w:textAlignment w:val="center"/>
    </w:pPr>
    <w:rPr>
      <w:rFonts w:ascii="MrEavesSanOTBook" w:hAnsi="MrEavesSanOTBook" w:cs="MrEavesSanOTBook"/>
      <w:color w:val="000000"/>
      <w:sz w:val="22"/>
      <w:szCs w:val="22"/>
    </w:rPr>
  </w:style>
  <w:style w:type="paragraph" w:customStyle="1" w:styleId="LCPFIntro">
    <w:name w:val="LCPF Intro"/>
    <w:basedOn w:val="Normal"/>
    <w:qFormat/>
    <w:rsid w:val="00DE783D"/>
    <w:pPr>
      <w:suppressAutoHyphens/>
      <w:autoSpaceDE w:val="0"/>
      <w:autoSpaceDN w:val="0"/>
      <w:adjustRightInd w:val="0"/>
      <w:spacing w:after="0" w:line="276" w:lineRule="auto"/>
      <w:textAlignment w:val="center"/>
    </w:pPr>
    <w:rPr>
      <w:rFonts w:ascii="Tiempos Headline Semibold" w:hAnsi="Tiempos Headline Semibold" w:cs="Tiempos Headline Semibold"/>
      <w:color w:val="09806F"/>
    </w:rPr>
  </w:style>
  <w:style w:type="paragraph" w:styleId="Revision">
    <w:name w:val="Revision"/>
    <w:hidden/>
    <w:uiPriority w:val="99"/>
    <w:semiHidden/>
    <w:rsid w:val="00AB3BDD"/>
    <w:pPr>
      <w:spacing w:after="0"/>
    </w:pPr>
  </w:style>
  <w:style w:type="table" w:styleId="TableGrid">
    <w:name w:val="Table Grid"/>
    <w:basedOn w:val="TableNormal"/>
    <w:uiPriority w:val="39"/>
    <w:rsid w:val="000D0C9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0D0C9F"/>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0D0C9F"/>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10ptTableCopy">
    <w:name w:val="10pt Table Copy"/>
    <w:basedOn w:val="Normal"/>
    <w:uiPriority w:val="99"/>
    <w:rsid w:val="000D0C9F"/>
    <w:pPr>
      <w:suppressAutoHyphens/>
      <w:autoSpaceDE w:val="0"/>
      <w:autoSpaceDN w:val="0"/>
      <w:adjustRightInd w:val="0"/>
      <w:spacing w:after="85" w:line="250" w:lineRule="atLeast"/>
      <w:textAlignment w:val="center"/>
    </w:pPr>
    <w:rPr>
      <w:rFonts w:ascii="MrEavesSanOT" w:hAnsi="MrEavesSanOT"/>
      <w:color w:val="000000"/>
      <w:sz w:val="20"/>
      <w:szCs w:val="20"/>
    </w:rPr>
  </w:style>
  <w:style w:type="paragraph" w:customStyle="1" w:styleId="SubHeading-Orange">
    <w:name w:val="Sub Heading - Orange"/>
    <w:basedOn w:val="Normal"/>
    <w:uiPriority w:val="99"/>
    <w:rsid w:val="000D0C9F"/>
    <w:pPr>
      <w:suppressAutoHyphens/>
      <w:autoSpaceDE w:val="0"/>
      <w:autoSpaceDN w:val="0"/>
      <w:adjustRightInd w:val="0"/>
      <w:spacing w:after="0" w:line="500" w:lineRule="atLeast"/>
      <w:textAlignment w:val="center"/>
    </w:pPr>
    <w:rPr>
      <w:rFonts w:ascii="Tiempos Headline Semibold" w:hAnsi="Tiempos Headline Semibold" w:cs="Tiempos Headline Semibold"/>
      <w:color w:val="F28C22"/>
      <w:sz w:val="44"/>
      <w:szCs w:val="44"/>
    </w:rPr>
  </w:style>
  <w:style w:type="paragraph" w:customStyle="1" w:styleId="BodySerifHeading">
    <w:name w:val="Body Serif Heading"/>
    <w:basedOn w:val="Normal"/>
    <w:uiPriority w:val="99"/>
    <w:rsid w:val="00F1777A"/>
    <w:pPr>
      <w:suppressAutoHyphens/>
      <w:autoSpaceDE w:val="0"/>
      <w:autoSpaceDN w:val="0"/>
      <w:adjustRightInd w:val="0"/>
      <w:spacing w:after="85" w:line="280" w:lineRule="atLeast"/>
      <w:textAlignment w:val="center"/>
    </w:pPr>
    <w:rPr>
      <w:rFonts w:ascii="Tiempos Headline Semibold" w:hAnsi="Tiempos Headline Semibold" w:cs="Tiempos Headline Semibold"/>
      <w:color w:val="F28C22"/>
    </w:rPr>
  </w:style>
  <w:style w:type="paragraph" w:customStyle="1" w:styleId="BodyCopy">
    <w:name w:val="Body Copy"/>
    <w:basedOn w:val="Normal"/>
    <w:uiPriority w:val="99"/>
    <w:rsid w:val="00BD21E5"/>
    <w:pPr>
      <w:suppressAutoHyphens/>
      <w:autoSpaceDE w:val="0"/>
      <w:autoSpaceDN w:val="0"/>
      <w:adjustRightInd w:val="0"/>
      <w:spacing w:after="85" w:line="250" w:lineRule="atLeast"/>
      <w:textAlignment w:val="center"/>
    </w:pPr>
    <w:rPr>
      <w:rFonts w:ascii="MrEavesSanOTBook" w:hAnsi="MrEavesSanOTBook" w:cs="MrEavesSanOTBook"/>
      <w:color w:val="000000"/>
      <w:sz w:val="22"/>
      <w:szCs w:val="22"/>
    </w:rPr>
  </w:style>
  <w:style w:type="table" w:styleId="ListTable5DarkAccent6">
    <w:name w:val="List Table 5 Dark Accent 6"/>
    <w:basedOn w:val="TableNormal"/>
    <w:uiPriority w:val="50"/>
    <w:rsid w:val="00B57E86"/>
    <w:pPr>
      <w:spacing w:after="0"/>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6">
    <w:name w:val="List Table 4 Accent 6"/>
    <w:basedOn w:val="TableNormal"/>
    <w:uiPriority w:val="49"/>
    <w:rsid w:val="00B57E86"/>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Bullet">
    <w:name w:val="List Bullet"/>
    <w:basedOn w:val="Normal"/>
    <w:uiPriority w:val="99"/>
    <w:unhideWhenUsed/>
    <w:rsid w:val="003627B6"/>
    <w:pPr>
      <w:numPr>
        <w:numId w:val="1"/>
      </w:numPr>
      <w:contextualSpacing/>
    </w:pPr>
  </w:style>
  <w:style w:type="paragraph" w:styleId="ListParagraph">
    <w:name w:val="List Paragraph"/>
    <w:basedOn w:val="Normal"/>
    <w:uiPriority w:val="34"/>
    <w:unhideWhenUsed/>
    <w:qFormat/>
    <w:rsid w:val="003C5B97"/>
    <w:pPr>
      <w:autoSpaceDE w:val="0"/>
      <w:autoSpaceDN w:val="0"/>
      <w:adjustRightInd w:val="0"/>
      <w:spacing w:after="120"/>
      <w:ind w:left="720"/>
      <w:contextualSpacing/>
      <w:jc w:val="both"/>
    </w:pPr>
    <w:rPr>
      <w:rFonts w:ascii="Arial" w:eastAsia="Calibri" w:hAnsi="Arial" w:cs="Helvetica-Light"/>
      <w:color w:val="000000"/>
    </w:rPr>
  </w:style>
  <w:style w:type="paragraph" w:customStyle="1" w:styleId="legp2paratext1">
    <w:name w:val="legp2paratext1"/>
    <w:basedOn w:val="Normal"/>
    <w:rsid w:val="003C5B97"/>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paragraph" w:customStyle="1" w:styleId="legclearfix2">
    <w:name w:val="legclearfix2"/>
    <w:basedOn w:val="Normal"/>
    <w:rsid w:val="003C5B97"/>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rsid w:val="003C5B97"/>
    <w:rPr>
      <w:vanish w:val="0"/>
      <w:webHidden w:val="0"/>
      <w:specVanish w:val="0"/>
    </w:rPr>
  </w:style>
  <w:style w:type="character" w:styleId="Hyperlink">
    <w:name w:val="Hyperlink"/>
    <w:basedOn w:val="DefaultParagraphFont"/>
    <w:uiPriority w:val="99"/>
    <w:unhideWhenUsed/>
    <w:rsid w:val="00910BEB"/>
    <w:rPr>
      <w:color w:val="0563C1" w:themeColor="hyperlink"/>
      <w:u w:val="single"/>
    </w:rPr>
  </w:style>
  <w:style w:type="character" w:styleId="FollowedHyperlink">
    <w:name w:val="FollowedHyperlink"/>
    <w:basedOn w:val="DefaultParagraphFont"/>
    <w:uiPriority w:val="99"/>
    <w:semiHidden/>
    <w:unhideWhenUsed/>
    <w:rsid w:val="00910BEB"/>
    <w:rPr>
      <w:color w:val="954F72" w:themeColor="followedHyperlink"/>
      <w:u w:val="single"/>
    </w:rPr>
  </w:style>
  <w:style w:type="paragraph" w:styleId="BalloonText">
    <w:name w:val="Balloon Text"/>
    <w:basedOn w:val="Normal"/>
    <w:link w:val="BalloonTextChar"/>
    <w:uiPriority w:val="99"/>
    <w:semiHidden/>
    <w:unhideWhenUsed/>
    <w:rsid w:val="00754D8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D8C"/>
    <w:rPr>
      <w:rFonts w:ascii="Segoe UI" w:hAnsi="Segoe UI" w:cs="Segoe UI"/>
      <w:sz w:val="18"/>
      <w:szCs w:val="18"/>
    </w:rPr>
  </w:style>
  <w:style w:type="character" w:styleId="CommentReference">
    <w:name w:val="annotation reference"/>
    <w:basedOn w:val="DefaultParagraphFont"/>
    <w:uiPriority w:val="99"/>
    <w:semiHidden/>
    <w:unhideWhenUsed/>
    <w:rsid w:val="00754D8C"/>
    <w:rPr>
      <w:sz w:val="16"/>
      <w:szCs w:val="16"/>
    </w:rPr>
  </w:style>
  <w:style w:type="paragraph" w:styleId="CommentText">
    <w:name w:val="annotation text"/>
    <w:basedOn w:val="Normal"/>
    <w:link w:val="CommentTextChar"/>
    <w:uiPriority w:val="99"/>
    <w:semiHidden/>
    <w:unhideWhenUsed/>
    <w:rsid w:val="00754D8C"/>
    <w:rPr>
      <w:sz w:val="20"/>
      <w:szCs w:val="20"/>
    </w:rPr>
  </w:style>
  <w:style w:type="character" w:customStyle="1" w:styleId="CommentTextChar">
    <w:name w:val="Comment Text Char"/>
    <w:basedOn w:val="DefaultParagraphFont"/>
    <w:link w:val="CommentText"/>
    <w:uiPriority w:val="99"/>
    <w:semiHidden/>
    <w:rsid w:val="00754D8C"/>
    <w:rPr>
      <w:sz w:val="20"/>
      <w:szCs w:val="20"/>
    </w:rPr>
  </w:style>
  <w:style w:type="paragraph" w:styleId="CommentSubject">
    <w:name w:val="annotation subject"/>
    <w:basedOn w:val="CommentText"/>
    <w:next w:val="CommentText"/>
    <w:link w:val="CommentSubjectChar"/>
    <w:uiPriority w:val="99"/>
    <w:semiHidden/>
    <w:unhideWhenUsed/>
    <w:rsid w:val="00754D8C"/>
    <w:rPr>
      <w:b/>
      <w:bCs/>
    </w:rPr>
  </w:style>
  <w:style w:type="character" w:customStyle="1" w:styleId="CommentSubjectChar">
    <w:name w:val="Comment Subject Char"/>
    <w:basedOn w:val="CommentTextChar"/>
    <w:link w:val="CommentSubject"/>
    <w:uiPriority w:val="99"/>
    <w:semiHidden/>
    <w:rsid w:val="00754D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70F6B-DE6B-4666-B915-525EB4EC4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8</Pages>
  <Words>2051</Words>
  <Characters>11695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Thompson</dc:creator>
  <cp:lastModifiedBy>Mukhtar Master</cp:lastModifiedBy>
  <cp:revision>4</cp:revision>
  <cp:lastPrinted>2019-08-29T15:15:00Z</cp:lastPrinted>
  <dcterms:created xsi:type="dcterms:W3CDTF">2020-12-15T15:50:00Z</dcterms:created>
  <dcterms:modified xsi:type="dcterms:W3CDTF">2021-01-06T15:31:00Z</dcterms:modified>
</cp:coreProperties>
</file>